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4671" w14:textId="04598795" w:rsidR="00233D7B" w:rsidRPr="003104CE" w:rsidRDefault="00233D7B" w:rsidP="003104CE">
      <w:r>
        <w:t xml:space="preserve">The </w:t>
      </w:r>
      <w:sdt>
        <w:sdtPr>
          <w:alias w:val="Anchored metadata"/>
          <w:tag w:val="fixture-cite-001"/>
          <w:id w:val="858618694"/>
          <w15:appearance w15:val="hidden"/>
        </w:sdtPr>
        <w:sdtContent>
          <w:r>
            <w:t>duty of care</w:t>
          </w:r>
        </w:sdtContent>
      </w:sdt>
      <w:r>
        <w:t xml:space="preserve"> under Beacon Bio requires officers to act with appropriate care during interim operating periods.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03A7F"/>
    <w:rsid w:val="00CC3C3F"/>
    <w:rsid w:val="00CE0D03"/>
    <w:rsid w:val="00DF4E9C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efs xmlns="urn:superdoc:test:word-roundtrip:1">
  <ref id="fixture-cite-001" encoding="json">{"citationId":"fixture-cite-001","sourceId":"src-restatement","sourceType":"statute","provider":"lexisnexis","displayText":"Restatement (Third) of Torts § 6","locator":"§ 6","excerpt":"An actor must exercise reasonable care.","confidence":0.92}</ref>
</refs>
</file>

<file path=customXml/itemProps1.xml><?xml version="1.0" encoding="utf-8"?>
<ds:datastoreItem xmlns:ds="http://schemas.openxmlformats.org/officeDocument/2006/customXml" ds:itemID="{6F857FC6-2B28-48D5-96AC-4E50D27728EB}">
  <ds:schemaRefs>
    <ds:schemaRef ds:uri="urn:superdoc:test:word-roundtrip: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Caio Pizzol</cp:lastModifiedBy>
  <cp:revision>2</cp:revision>
  <dcterms:created xsi:type="dcterms:W3CDTF">2026-05-18T21:43:00Z</dcterms:created>
  <dcterms:modified xsi:type="dcterms:W3CDTF">2026-05-18T21:43:00Z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1.32.0</vt:lpwstr>
  </property>
  <property fmtid="{D5CDD505-2E9C-101B-9397-08002B2CF9AE}" pid="3" name="DocumentGuid">
    <vt:lpwstr>660611C8-48E9-E744-81B9-770713F12380</vt:lpwstr>
  </property>
</Properties>
</file>