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Style-derived bidiVisual test</w:t>
      </w:r>
    </w:p>
    <w:tbl>
      <w:tblPr>
        <w:tblStyle w:val="RtlStyleTable"/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  <w:tc>
          <w:tcPr>
            <w:tcW w:w="2000" w:type="dxa"/>
          </w:tcPr>
          <w:p>
            <w:r>
              <w:t>C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table" w:styleId="RtlStyleTable">
    <w:name w:val="RTL Style Table"/>
    <w:tblPr>
      <w:bidiVisual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