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INTERNAL POLICY MANUAL</w:t>
      </w:r>
    </w:p>
    <w:p>
      <w:pPr>
        <w:spacing w:after="200"/>
        <w:jc w:val="center"/>
      </w:pPr>
      <w:r>
        <w:rPr>
          <w:b/>
          <w:bCs/>
        </w:rPr>
        <w:t xml:space="preserve">Astra Dynamics</w:t>
      </w:r>
    </w:p>
    <w:p>
      <w:pPr>
        <w:spacing w:after="600"/>
        <w:jc w:val="center"/>
      </w:pPr>
      <w:r>
        <w:t xml:space="preserve">Effective Date: January 1, 2026</w:t>
      </w:r>
    </w:p>
    <w:p>
      <w:pPr>
        <w:pStyle w:val="Heading1"/>
        <w:spacing w:after="200" w:before="400"/>
      </w:pPr>
      <w:r>
        <w:t xml:space="preserve">Section 1: Code of Conduct</w:t>
      </w:r>
    </w:p>
    <w:p>
      <w:pPr>
        <w:spacing w:after="300"/>
      </w:pPr>
      <w:r>
        <w:t xml:space="preserve">All employees of Astra Dynamics are expected to conduct themselves with the highest standards of integrity, professionalism, and respect. The following policies govern employee behavior.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General Conduct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Employees shall treat all colleagues, clients, and partners with dignity and respect.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Discrimination, harassment, and retaliation of any kind are strictly prohibited.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Conflicts of Interest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Employees must disclose any actual or potential conflicts of interest to their manager.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Employees may not engage in outside employment that conflicts with their duties at Astra Dynamics.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Section 2: Information Security</w:t>
      </w:r>
    </w:p>
    <w:p>
      <w:pPr>
        <w:spacing w:after="300"/>
      </w:pPr>
      <w:r>
        <w:t xml:space="preserve">Astra Dynamics takes the security of its information assets seriously. All employees are required to comply with the following information security policies.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Control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Employees must use strong, unique passwords for all company systems and change them every 90 days.</w:t>
      </w:r>
    </w:p>
    <w:p>
      <w:pPr>
        <w:pStyle w:val="ListParagraph"/>
        <w:numPr>
          <w:ilvl w:val="2"/>
          <w:numId w:val="2"/>
        </w:numPr>
        <w:spacing w:after="100"/>
      </w:pPr>
      <w:r>
        <w:t xml:space="preserve">Passwords must be at least 12 characters and include uppercase, lowercase, numbers, and symbols.</w:t>
      </w:r>
    </w:p>
    <w:p>
      <w:pPr>
        <w:pStyle w:val="ListParagraph"/>
        <w:numPr>
          <w:ilvl w:val="2"/>
          <w:numId w:val="2"/>
        </w:numPr>
        <w:spacing w:after="100"/>
      </w:pPr>
      <w:r>
        <w:t xml:space="preserve">Multi-factor authentication is required for all cloud-based services.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Access to sensitive systems must be granted on a least-privilege basis and reviewed quarterly.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Classification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All company data must be classified as Public, Internal, Confidential, or Restricted.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Restricted data must be encrypted in transit and at rest, and access logs must be maintained.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Section 3: Remote Work Policy</w:t>
      </w:r>
    </w:p>
    <w:p>
      <w:pPr>
        <w:spacing w:after="300"/>
      </w:pPr>
      <w:r>
        <w:t xml:space="preserve">Astra Dynamics supports flexible remote work arrangements. Employees working remotely must adhere to the policies set forth in this section.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Eligibility and Approval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Remote work arrangements must be approved by the employee's direct manager and HR.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Employees on a performance improvement plan are not eligible for remote work without VP approval.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Home Office Requirements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Employees working remotely must maintain a dedicated, ergonomically appropriate workspace.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following minimum equipment requirements apply to all remote work arrangements:</w:t>
      </w:r>
    </w:p>
    <w:p>
      <w:pPr>
        <w:pStyle w:val="ListParagraph"/>
        <w:numPr>
          <w:ilvl w:val="2"/>
          <w:numId w:val="2"/>
        </w:numPr>
        <w:spacing w:after="100"/>
      </w:pPr>
      <w:r>
        <w:t xml:space="preserve">A reliable internet connection with minimum 25 Mbps download speed.</w:t>
      </w:r>
    </w:p>
    <w:p>
      <w:pPr>
        <w:pStyle w:val="ListParagraph"/>
        <w:numPr>
          <w:ilvl w:val="2"/>
          <w:numId w:val="2"/>
        </w:numPr>
        <w:spacing w:after="100"/>
      </w:pPr>
      <w:r>
        <w:t xml:space="preserve">A company-approved laptop or desktop computer in good working condition.</w:t>
      </w:r>
    </w:p>
    <w:p>
      <w:pPr>
        <w:spacing w:after="200" w:before="400"/>
      </w:pPr>
      <w:r>
        <w:t xml:space="preserve">This policy manual is reviewed annually. Employees are responsible for staying current with policy updates. Questions should be directed to the People Operations team.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</w:rPr>
      <w:t xml:space="preserve">Astra Dynamics — Internal Policy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15:tentative="1">
      <w:start w:val="1"/>
      <w:numFmt w:val="decimal"/>
      <w:lvlText w:val="%1.%2"/>
      <w:lvlJc w:val="left"/>
      <w:pPr>
        <w:ind w:left="720" w:hanging="360"/>
      </w:pPr>
    </w:lvl>
    <w:lvl w:ilvl="2" w15:tentative="1">
      <w:start w:val="1"/>
      <w:numFmt w:val="lowerLetter"/>
      <w:lvlText w:val="%3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 Dynamics Internal Policy Manual</dc:title>
  <dc:creator>SuperDoc Fixtures</dc:creator>
  <dc:description>Company policy manual with nested numbered lists, headers, and footers</dc:description>
  <cp:lastModifiedBy>Un-named</cp:lastModifiedBy>
  <cp:revision>1</cp:revision>
  <dcterms:created xsi:type="dcterms:W3CDTF">2026-04-02T16:23:41.533Z</dcterms:created>
  <dcterms:modified xsi:type="dcterms:W3CDTF">2026-04-02T16:23:41.533Z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