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27D4C3" w14:textId="31554880" w:rsidR="00A71C0A" w:rsidRDefault="00351021">
      <w:r w:rsidRPr="00351021">
        <w:t>If Vendor were to recognize that, subject to the regional reporting framework under Policy Rule 8-14(b)-2, North District, not Central District, would calculate and remit service withholding, the administrative office would receive the increased net processing difference rather than a full duplicate submission requiring manual review. While this creates an additional compliance burden for the vendor, it also states that staff will not face true duplicate withholding.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21"/>
    <w:rsid w:val="00351021"/>
    <w:rsid w:val="00556D8D"/>
    <w:rsid w:val="00702445"/>
    <w:rsid w:val="008D12EA"/>
    <w:rsid w:val="00A7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1CF2F0"/>
  <w15:chartTrackingRefBased/>
  <w15:docId w15:val="{9BE9679E-E4FF-4E4C-B94B-7F06C468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1</cp:revision>
  <dcterms:created xsi:type="dcterms:W3CDTF">2026-06-18T05:49:00Z</dcterms:created>
  <dcterms:modified xsi:type="dcterms:W3CDTF">2026-06-18T05:50:00Z</dcterms:modified>
</cp:coreProperties>
</file>