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7D4C3" w14:textId="36B9980C" w:rsidR="00A71C0A" w:rsidRPr="00BE1B9B" w:rsidRDefault="00BE1B9B" w:rsidP="00BE1B9B">
      <w:r w:rsidRPr="00BE1B9B">
        <w:t>Vendor recognizes that applying the regional reporting framework under Policy Rule 8-14(b)-2 requires it to calculate and remit any Central District withholding, and the operations office receives the net difference rather than a full duplicate submission requiring manual review. While this creates an additional compliance obligation for Vendor, it also means that staff will not face true duplicate withholding.</w:t>
      </w:r>
    </w:p>
    <w:sectPr w:rsidR="00A71C0A" w:rsidRPr="00BE1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21"/>
    <w:rsid w:val="00351021"/>
    <w:rsid w:val="00556D8D"/>
    <w:rsid w:val="005A5324"/>
    <w:rsid w:val="00702445"/>
    <w:rsid w:val="008D12EA"/>
    <w:rsid w:val="00A71C0A"/>
    <w:rsid w:val="00BE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CF2F0"/>
  <w15:chartTrackingRefBased/>
  <w15:docId w15:val="{9BE9679E-E4FF-4E4C-B94B-7F06C468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2026-06-18T05:49:00Z</dcterms:created>
  <dcterms:modified xsi:type="dcterms:W3CDTF">2026-06-18T05:50:00Z</dcterms:modified>
</cp:coreProperties>
</file>