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3B785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第二次周报</w:t>
      </w:r>
    </w:p>
    <w:p w14:paraId="56EA28DD">
      <w:pPr>
        <w:ind w:firstLine="560" w:firstLineChars="20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本周主要学习了PE文件的区段头、导入表和导出表，并设计了C++代码去实现解析PE的区段头、导入表和导出表。对PE文件在内存中的偏移建立更清晰的认识。</w:t>
      </w:r>
    </w:p>
    <w:p w14:paraId="7133DF74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具体来看，PE文件的结构是一层一层套起来的：DOS头的e_lfanew字段指向NT头，NT头由签名和文件头（也就是标准PE头）组成，文件头后面的可选PE头里放着ImageBase、SectionAlignment、FileAlignment，以及数据目录表的位置和数量；数据目录表后面紧接着区段表，每个区段头描述一段数据的名称、在内存中的位置、在文件中的位置，以及是否可读、可写、可执行。</w:t>
      </w:r>
    </w:p>
    <w:p w14:paraId="22335B23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里需要注意的是文件对齐和内存对齐并不相同，同一份数据在文件里和在内存里的偏移有差别，所以静态解析时必须先把RVA换算成FOA，这也是后面解析导出表和导入表的前提。数据目录一共16项，本周用到的是导出表（索引0）和导入表（索引1），后面还会接触资源表、重定位表，以及下一阶段准备学习的TLS表（索引9）。</w:t>
      </w:r>
    </w:p>
    <w:p w14:paraId="4A9608E0">
      <w:pPr>
        <w:ind w:firstLine="560" w:firstLineChars="20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实验工具：Visual Studio，PE-bear</w:t>
      </w:r>
    </w:p>
    <w:p w14:paraId="242E3234">
      <w:p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实验一：解析区段头</w:t>
      </w:r>
    </w:p>
    <w:p w14:paraId="0A12BF75">
      <w:p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1）如何获取区段头，通过DOS头找到NT头，NT头找到标准PE头，标准PE头中获取可选PE头的大小，通过代码中定义的FileBuff开始相加，找到区段头的首地址。这里使用的是更为方便的方法，用微软自带的宏来快速定位。</w:t>
      </w:r>
    </w:p>
    <w:p w14:paraId="4E70FDBD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区段头各字段的含义。一个区段头占40字节，常用的字段有Name（8字节的区段名称）、VirtualSize（区段在内存中的实际大小）、VirtualAddress（区段在内存中的起始RVA）、SizeOfRawData（区段在文件中对齐后的大小）、PointerToRawData（区段在文件中的起始偏移）和Characteristics（区段是否可读、可写、可执行等属性）。其中VirtualAddress和SizeOfRawData正是后面做RVA转FOA时要用到的两个量。读取区段表时用微软提供的IMAGE_FIRST_SECTION宏可以直接定位到第一个区段头，比手工叠加偏移更省事。</w:t>
      </w:r>
    </w:p>
    <w:p w14:paraId="6988B241">
      <w:pPr>
        <w:jc w:val="left"/>
      </w:pPr>
      <w:r>
        <w:drawing>
          <wp:inline distT="0" distB="0" distL="114300" distR="114300">
            <wp:extent cx="5186680" cy="1149350"/>
            <wp:effectExtent l="0" t="0" r="762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816B">
      <w:pPr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1694180</wp:posOffset>
                </wp:positionH>
                <wp:positionV relativeFrom="paragraph">
                  <wp:posOffset>17780</wp:posOffset>
                </wp:positionV>
                <wp:extent cx="1479550" cy="241935"/>
                <wp:effectExtent l="0" t="0" r="6350" b="1206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97480" y="5725160"/>
                          <a:ext cx="147955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BCF97">
                            <w:pPr>
                              <w:jc w:val="center"/>
                              <w:rPr>
                                <w:rFonts w:hint="default" w:eastAsiaTheme="minorEastAsia"/>
                                <w:color w:val="808080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background1" w:themeShade="80"/>
                                <w:lang w:val="en-US" w:eastAsia="zh-CN"/>
                              </w:rPr>
                              <w:t>此处为FileBuff的定义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4pt;margin-top:1.4pt;height:19.05pt;width:116.5pt;z-index:251659264;mso-width-relative:page;mso-height-relative:page;" filled="f" stroked="f" coordsize="21600,21600" o:gfxdata="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b3+uR2AAAAAgBAAAPAAAAAAAAAAEAIAAA&#10;ACIAAABkcnMvZG93bnJldi54bWxQSwECFAAUAAAACACHTuJAc9C3l0UCAAByBAAADgAAAAAAAAAB&#10;ACAAAAAn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95BCF97">
                      <w:pPr>
                        <w:jc w:val="center"/>
                        <w:rPr>
                          <w:rFonts w:hint="default" w:eastAsiaTheme="minorEastAsia"/>
                          <w:color w:val="808080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808080" w:themeColor="background1" w:themeShade="80"/>
                          <w:lang w:val="en-US" w:eastAsia="zh-CN"/>
                        </w:rPr>
                        <w:t>此处为FileBuff的定义</w:t>
                      </w:r>
                    </w:p>
                  </w:txbxContent>
                </v:textbox>
              </v:shape>
            </w:pict>
          </mc:Fallback>
        </mc:AlternateContent>
      </w:r>
    </w:p>
    <w:p w14:paraId="2201E6CD">
      <w:pPr>
        <w:ind w:firstLine="560" w:firstLineChars="20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由于区段头的名称是8字节的byte型数组，因此不能直接printf，这里把区段头名称放进一个数组内，用数组去表示。</w:t>
      </w:r>
    </w:p>
    <w:p w14:paraId="3F7B6BF7">
      <w:pPr>
        <w:ind w:firstLine="420" w:firstLineChars="20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2087880</wp:posOffset>
                </wp:positionH>
                <wp:positionV relativeFrom="paragraph">
                  <wp:posOffset>1929130</wp:posOffset>
                </wp:positionV>
                <wp:extent cx="1479550" cy="2921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38D73">
                            <w:pPr>
                              <w:jc w:val="both"/>
                              <w:rPr>
                                <w:rFonts w:hint="default" w:eastAsiaTheme="minorEastAsia"/>
                                <w:color w:val="808080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background1" w:themeShade="80"/>
                                <w:lang w:val="en-US" w:eastAsia="zh-CN"/>
                              </w:rPr>
                              <w:t>输出区段头名称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4pt;margin-top:151.9pt;height:23pt;width:116.5pt;z-index:251660288;mso-width-relative:page;mso-height-relative:page;" filled="f" stroked="f" coordsize="21600,21600" o:gfxdata="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minEntoAAAALAQAADwAAAAAAAAABACAAAAAiAAAAZHJz&#10;L2Rvd25yZXYueG1sUEsBAhQAFAAAAAgAh07iQDBrik47AgAAZg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738D73">
                      <w:pPr>
                        <w:jc w:val="both"/>
                        <w:rPr>
                          <w:rFonts w:hint="default" w:eastAsiaTheme="minorEastAsia"/>
                          <w:color w:val="808080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808080" w:themeColor="background1" w:themeShade="80"/>
                          <w:lang w:val="en-US" w:eastAsia="zh-CN"/>
                        </w:rPr>
                        <w:t>输出区段头名称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0975" cy="1915160"/>
            <wp:effectExtent l="0" t="0" r="9525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05A58">
      <w:pPr>
        <w:ind w:firstLine="420" w:firstLineChars="200"/>
        <w:jc w:val="left"/>
      </w:pPr>
    </w:p>
    <w:p w14:paraId="63EA3D8B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执行代码后，将提前准备好的exe文件放入PE-bear中解析，通过与工具解析出的和代码解析出的对比，发现实验成功</w:t>
      </w:r>
    </w:p>
    <w:p w14:paraId="78573CF9">
      <w:pPr>
        <w:ind w:firstLine="420" w:firstLineChars="200"/>
        <w:jc w:val="left"/>
      </w:pPr>
      <w:r>
        <w:drawing>
          <wp:inline distT="0" distB="0" distL="114300" distR="114300">
            <wp:extent cx="4992370" cy="2868295"/>
            <wp:effectExtent l="0" t="0" r="11430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277D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实验二：解析导出表</w:t>
      </w:r>
    </w:p>
    <w:p w14:paraId="14CF7A24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先新建一个dll文件，如图所示</w:t>
      </w:r>
    </w:p>
    <w:p w14:paraId="0211CA78">
      <w:pPr>
        <w:ind w:firstLine="420" w:firstLineChars="200"/>
        <w:jc w:val="left"/>
      </w:pPr>
      <w:r>
        <w:drawing>
          <wp:inline distT="0" distB="0" distL="114300" distR="114300">
            <wp:extent cx="2631440" cy="1328420"/>
            <wp:effectExtent l="0" t="0" r="10160" b="508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90115" cy="2152650"/>
            <wp:effectExtent l="0" t="0" r="6985" b="635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E439">
      <w:pPr>
        <w:ind w:firstLine="420" w:firstLineChars="20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1946910</wp:posOffset>
                </wp:positionV>
                <wp:extent cx="2660650" cy="32321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F5269">
                            <w:pPr>
                              <w:jc w:val="center"/>
                              <w:rPr>
                                <w:rFonts w:hint="default" w:eastAsiaTheme="minorEastAsia"/>
                                <w:color w:val="808080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background1" w:themeShade="80"/>
                                <w:lang w:val="en-US" w:eastAsia="zh-CN"/>
                              </w:rPr>
                              <w:t>共有export.def\mydll.cpp\mydll.h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9pt;margin-top:153.3pt;height:25.45pt;width:209.5pt;z-index:251661312;mso-width-relative:page;mso-height-relative:page;" filled="f" stroked="f" coordsize="21600,21600" o:gfxdata="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FhkVXDaAAAACwEAAA8AAAAAAAAAAQAgAAAAIgAAAGRycy9k&#10;b3ducmV2LnhtbFBLAQIUABQAAAAIAIdO4kAasauGOQIAAGg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B7F5269">
                      <w:pPr>
                        <w:jc w:val="center"/>
                        <w:rPr>
                          <w:rFonts w:hint="default" w:eastAsiaTheme="minorEastAsia"/>
                          <w:color w:val="808080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808080" w:themeColor="background1" w:themeShade="80"/>
                          <w:lang w:val="en-US" w:eastAsia="zh-CN"/>
                        </w:rPr>
                        <w:t>共有export.def\mydll.cpp\mydll.h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002530" cy="1931035"/>
            <wp:effectExtent l="0" t="0" r="1270" b="1206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CC0D">
      <w:pPr>
        <w:ind w:firstLine="420" w:firstLineChars="200"/>
        <w:jc w:val="left"/>
      </w:pPr>
    </w:p>
    <w:p w14:paraId="100E3463">
      <w:pPr>
        <w:ind w:firstLine="1120" w:firstLineChars="4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这之前，要先建立一个将RVA转换成FOA的函数，由于PE文件在文件中和内存中对齐方式不同，导致加载方式不同。而PE文件解析给出的值都都是RVA，因此想要静态解析需要将RVA转换成FOA，由于导出表数据的FOA与区段的FOA的差值和数据的RVA与区段的RVA的差值一样，所以可用这个原理来转换。</w:t>
      </w:r>
    </w:p>
    <w:p w14:paraId="22579E5A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导出表本身是IMAGE_EXPORT_DIRECTORY结构，最关键的是其中三个数组：AddressOfFunctions是函数地址表，存的是各个函数的RVA；AddressOfNames是名称表，存的是函数名字符串的RVA；AddressOfNameOrdinals是序号表，存的是WORD类型的下标。名称表和序号表是一一对应的，同一个下标经序号表查到的值再去索引地址表，就能拿到对应函数的RVA。结构里的Base是导出序号的起始值，NumberOfFunctions和NumberOfNames分别记录地址表和名称表的项数，所以一个DLL既可以按名称导出，也可以按序号导出。</w:t>
      </w:r>
    </w:p>
    <w:p w14:paraId="21A8B554">
      <w:pPr>
        <w:ind w:firstLine="420" w:firstLineChars="200"/>
        <w:jc w:val="left"/>
      </w:pPr>
      <w:r>
        <w:drawing>
          <wp:inline distT="0" distB="0" distL="114300" distR="114300">
            <wp:extent cx="5360670" cy="1854835"/>
            <wp:effectExtent l="0" t="0" r="11430" b="1206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F4FC5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源代码如下</w:t>
      </w:r>
    </w:p>
    <w:p w14:paraId="5C5312C2">
      <w:pPr>
        <w:ind w:firstLine="420" w:firstLineChars="200"/>
        <w:jc w:val="left"/>
      </w:pPr>
      <w:r>
        <w:drawing>
          <wp:inline distT="0" distB="0" distL="114300" distR="114300">
            <wp:extent cx="5273675" cy="3515995"/>
            <wp:effectExtent l="0" t="0" r="9525" b="19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3D4F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通过运行，再把dll放到PE-bear中解析，经过比对，发现实验成功</w:t>
      </w:r>
    </w:p>
    <w:p w14:paraId="5B1F7351">
      <w:pPr>
        <w:ind w:firstLine="420" w:firstLineChars="200"/>
        <w:jc w:val="left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1130300"/>
            <wp:effectExtent l="0" t="0" r="10160" b="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9F01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实验三：解析导入表</w:t>
      </w:r>
    </w:p>
    <w:p w14:paraId="27F032FA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源码如下：</w:t>
      </w:r>
    </w:p>
    <w:p w14:paraId="2B795A36">
      <w:pPr>
        <w:jc w:val="left"/>
      </w:pPr>
      <w:r>
        <w:drawing>
          <wp:inline distT="0" distB="0" distL="114300" distR="114300">
            <wp:extent cx="5267325" cy="4104005"/>
            <wp:effectExtent l="0" t="0" r="3175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EDF3C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首先通过可选PE头找到数据表，获取导入表的起始地址，先导出dll文件名称，然后再判断导出类型，最高位是0或1来判断。最后运行得到导入表的解析。</w:t>
      </w:r>
    </w:p>
    <w:p w14:paraId="084F6339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导入表在数据目录里是一组IMAGE_IMPORT_DESCRIPTOR，最后用一个全0的结构作为结束标志。每一项里的OriginalFirstThunk指向导入名称表（INT），FirstThunk指向导入地址表（IAT），被导入的函数名就挂在INT指向的IMAGE_IMPORT_BY_NAME结构上，结构里包含Hint和Name两个字段。判断导入方式要看对应项的最高位：最高位是1（IMAGE_ORDINAL_FLAG，值为0x80000000）说明这个函数是按序号导入的，低16位就是序号；最高位是0则这一项是一个指向函数名字符串的RVA，也就是按名称导入。</w:t>
      </w:r>
    </w:p>
    <w:p w14:paraId="38E5AACC">
      <w:pPr>
        <w:jc w:val="left"/>
      </w:pPr>
      <w:r>
        <w:drawing>
          <wp:inline distT="0" distB="0" distL="114300" distR="114300">
            <wp:extent cx="2604135" cy="1153795"/>
            <wp:effectExtent l="0" t="0" r="12065" b="190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5885" cy="1894205"/>
            <wp:effectExtent l="0" t="0" r="5715" b="1079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5CC7">
      <w:pPr>
        <w:jc w:val="left"/>
      </w:pPr>
    </w:p>
    <w:p w14:paraId="5DB6F28D">
      <w:pPr>
        <w:jc w:val="left"/>
      </w:pPr>
      <w:r>
        <w:drawing>
          <wp:inline distT="0" distB="0" distL="114300" distR="114300">
            <wp:extent cx="2565400" cy="2553335"/>
            <wp:effectExtent l="0" t="0" r="0" b="1206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6365" cy="2105660"/>
            <wp:effectExtent l="0" t="0" r="635" b="254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2B08">
      <w:pPr>
        <w:jc w:val="left"/>
      </w:pPr>
      <w:r>
        <w:drawing>
          <wp:inline distT="0" distB="0" distL="114300" distR="114300">
            <wp:extent cx="2834640" cy="2908300"/>
            <wp:effectExtent l="0" t="0" r="1016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9180" cy="2738120"/>
            <wp:effectExtent l="0" t="0" r="7620" b="508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DB2C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经过比对标准解析工具，发现导入表完全对应正确，实验成功。</w:t>
      </w:r>
    </w:p>
    <w:p w14:paraId="72637AB4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四、下一阶段目标</w:t>
      </w:r>
    </w:p>
    <w:p w14:paraId="794A08A0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结合本周的内容，下一阶段打算沿着从文件结构到内存行为这条线继续，重点放在TLS反调试、堆和虚拟内存三个方向。</w:t>
      </w:r>
    </w:p>
    <w:p w14:paraId="691A7485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TLS反调试。先弄清楚TLS表的结构，它在数据目录里是索引9，对应的结构是IMAGE_TLS_DIRECTORY，重点是其中指向回调函数数组的AddressOfCallBacks字段。TLS回调会在程序入口点之前被执行，这个时间点正是它常被用来做反调试和反沙箱的原因，所以要搞明白回调是怎么注册进去的、又是在什么时候被调用。初步目标是用C++把TLS目录和回调地址解析出来，再用调试器验证回调的执行时机。</w:t>
      </w:r>
    </w:p>
    <w:p w14:paraId="051A090C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堆。学习Windows堆的基本管理方式，包括堆的创建（HeapCreate）、内存的分配与释放（HeapAlloc、HeapFree，以及C++里new和malloc背后的堆操作），理解堆区和堆块头的大致结构，并接触一下堆的调试手段，比如页堆（Page Heap）。初步目标是能用调试器观察一次内存申请背后的堆变化，为后面理解堆相关的漏洞利用打基础。</w:t>
      </w:r>
    </w:p>
    <w:p w14:paraId="642A74A1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3）虚拟内存。学习进程虚拟地址空间的布局、以页为单位的内存管理方式、页的保护属性（可读、可写、可执行），以及VirtualAlloc、VirtualProtect这类内存相关API。这一块和本周的PE解析衔接得很紧，区段头里的VirtualAddress就是内存中的RVA，PE加载器正是按照SectionAlignment把各区段映射到虚拟内存里的。初步目标是能查看某个进程的内存区域分布，并解释PE文件加载之后在内存中的镜像结构。</w:t>
      </w:r>
    </w:p>
    <w:p w14:paraId="18B8DAB2">
      <w:pPr>
        <w:jc w:val="left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E02BF1"/>
    <w:rsid w:val="341A56D2"/>
    <w:rsid w:val="5E850529"/>
    <w:rsid w:val="5F84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1907</Words>
  <Characters>2536</Characters>
  <Lines>0</Lines>
  <Paragraphs>0</Paragraphs>
  <TotalTime>351</TotalTime>
  <ScaleCrop>false</ScaleCrop>
  <LinksUpToDate>false</LinksUpToDate>
  <CharactersWithSpaces>2540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2026-10-15T13:28:00Z</dcterms:created>
  <dc:creator>25463</dc:creator>
  <cp:lastModifiedBy>愿风神忽悠你</cp:lastModifiedBy>
  <dcterms:modified xsi:type="dcterms:W3CDTF">2026-10-16T13:40:22Z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eyJoZGlkIjoiZjNhZjAxOTNkYTZjOTJlYzg5ZWMyYjBkM2M0NTZjMDUiLCJ1c2VySWQiOiIxMjc0ODk1ODAwIn0=</vt:lpwstr>
  </property>
  <property fmtid="{D5CDD505-2E9C-101B-9397-08002B2CF9AE}" pid="4" name="ICV">
    <vt:lpwstr>27C1A12D6C964D34A9AB34617E8F4232_12</vt:lpwstr>
  </property>
</Properties>
</file>