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sz w:val="32"/>
        </w:rPr>
        <w:t>Nomenclature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38"/>
        <w:gridCol w:w="7178"/>
      </w:tblGrid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rPr>
                <w:u w:val="single"/>
              </w:rPr>
              <w:t>Acronyms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CAD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Computer-Aided Design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CMMS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Computerised Maintenance Management System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DN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Distribution Network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EMA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Energy Market Authority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HV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High Voltage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HVAC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Heating, Ventilation and Air Conditioning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LEW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Licensed Electrical Worker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LV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Low Voltage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LVDN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Low-Voltage Distribution Network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LVSB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Low-Voltage Switchboard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MCB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Miniature Circuit Breaker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MCCB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Moulded-Case Circuit Breaker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PDF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Portable Document Format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RFID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Radio-Frequency Identification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SCADA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Supervisory Control and Data Acquisition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SDG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Sustainable Development Goal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SLD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Single-Line Diagram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SQL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Structured Query Language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SS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Singapore Standard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SSMC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Systems on Silicon Manufacturing Company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URL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Uniform Resource Locator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µPMU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Micro-Phasor Measurement Unit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/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/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rPr>
                <w:u w:val="single"/>
              </w:rPr>
              <w:t>Symbols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kV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kilovolt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A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ampere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t>US$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United States dollar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rPr>
                <w:i/>
              </w:rPr>
              <w:t>S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Percentage time saving per lookup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current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Time per lookup using the current method (min)</w:t>
            </w:r>
          </w:p>
        </w:tc>
      </w:tr>
      <w:tr>
        <w:tc>
          <w:tcPr>
            <w:tcW w:type="dxa" w:w="1838"/>
          </w:tcPr>
          <w:p>
            <w:pPr>
              <w:spacing w:after="0" w:line="276" w:lineRule="auto"/>
              <w:jc w:val="left"/>
            </w:pP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app</w:t>
            </w:r>
          </w:p>
        </w:tc>
        <w:tc>
          <w:tcPr>
            <w:tcW w:type="dxa" w:w="7178"/>
          </w:tcPr>
          <w:p>
            <w:pPr>
              <w:spacing w:after="0" w:line="276" w:lineRule="auto"/>
              <w:jc w:val="left"/>
            </w:pPr>
            <w:r>
              <w:t>Time per lookup using the application (min)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