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sz w:val="32"/>
        </w:rPr>
        <w:t>Nomenclature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38"/>
        <w:gridCol w:w="7178"/>
      </w:tblGrid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u w:val="single"/>
              </w:rPr>
              <w:t>Acronyms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CAD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Computer-Aided Design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CMMS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Computerised Maintenance Management System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DN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Distribution Network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EMA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Energy Market Authority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HV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High Voltage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HVAC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Heating, Ventilation and Air Conditioning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LEW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Licensed Electrical Worker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LV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Low Voltage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LVDN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Low-Voltage Distribution Network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LVSB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Low-Voltage Switchboard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MCB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Miniature Circuit Breaker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MCCB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Moulded-Case Circuit Breaker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PDF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Portable Document Format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RFID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Radio-Frequency Identification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SCADA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Supervisory Control and Data Acquisition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SDG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Sustainable Development Goal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SLD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Single-Line Diagram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SQL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Structured Query Language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SS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Singapore Standard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SSMC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Systems on Silicon Manufacturing Company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URL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Uniform Resource Locator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µPMU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Micro-Phasor Measurement Unit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/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u w:val="single"/>
              </w:rPr>
              <w:t>Symbols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C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Capacity of a circuit breaker (A)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I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Load current (A)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I</w:t>
            </w:r>
            <w:r>
              <w:rPr>
                <w:i/>
                <w:vertAlign w:val="subscript"/>
              </w:rPr>
              <w:t>n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Rated current of a circuit breaker (A)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k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Capacity factor applied to the rated current (default 1.14)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S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Time saving per lookup (%)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T</w:t>
            </w:r>
            <w:r>
              <w:rPr>
                <w:i/>
                <w:vertAlign w:val="subscript"/>
              </w:rPr>
              <w:t>app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Time per lookup using the application (min)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T</w:t>
            </w:r>
            <w:r>
              <w:rPr>
                <w:i/>
                <w:vertAlign w:val="subscript"/>
              </w:rPr>
              <w:t>current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Time per lookup using the current method (min)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/>
              </w:rPr>
              <w:t>U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Utilisation of a circuit breaker (%)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/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u w:val="single"/>
              </w:rPr>
              <w:t>Units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A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ampere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kV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kilovolt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min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minute</w:t>
            </w:r>
          </w:p>
        </w:tc>
      </w:tr>
      <w:tr>
        <w:tc>
          <w:tcPr>
            <w:tcW w:type="dxa" w:w="1838"/>
          </w:tcPr>
          <w:p>
            <w:pPr>
              <w:spacing w:after="0" w:line="276" w:lineRule="auto"/>
              <w:jc w:val="left"/>
            </w:pPr>
            <w:r>
              <w:rPr>
                <w:i w:val="0"/>
              </w:rPr>
              <w:t>US$</w:t>
            </w:r>
          </w:p>
        </w:tc>
        <w:tc>
          <w:tcPr>
            <w:tcW w:type="dxa" w:w="7178"/>
          </w:tcPr>
          <w:p>
            <w:pPr>
              <w:spacing w:after="0" w:line="276" w:lineRule="auto"/>
              <w:jc w:val="left"/>
            </w:pPr>
            <w:r>
              <w:t>United States dollar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