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Nomenclature</w:t>
      </w:r>
    </w:p>
    <w:p>
      <w:r>
        <w:rPr>
          <w:b/>
        </w:rPr>
        <w:t>Acronyms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7370"/>
      </w:tblGrid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CAD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Computer-Aided Design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CMMS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Computerised Maintenance Management System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DN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Distribution Network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EMA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Energy Market Authority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HV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High Voltage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HVAC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Heating, Ventilation and Air Conditioning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LEW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Licensed Electrical Worker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LV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Low Voltage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LVDN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Low-Voltage Distribution Network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LVSB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Low-Voltage Switchboard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MCB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Miniature Circuit Breaker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MCCB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Moulded-Case Circuit Breaker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PDF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Portable Document Format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RFID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Radio-Frequency Identification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SCADA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Supervisory Control and Data Acquisition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SDG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Sustainable Development Goal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SLD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Single-Line Diagram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SQL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Structured Query Language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SS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Singapore Standard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SSMC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Systems on Silicon Manufacturing Company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URL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Uniform Resource Locator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µPMU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Micro-Phasor Measurement Unit</w:t>
            </w:r>
          </w:p>
        </w:tc>
      </w:tr>
    </w:tbl>
    <w:p>
      <w:pPr>
        <w:spacing w:before="240"/>
      </w:pPr>
      <w:r>
        <w:rPr>
          <w:b/>
        </w:rPr>
        <w:t>Symbols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7370"/>
      </w:tblGrid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kV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kilovolt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A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ampere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 w:val="0"/>
              </w:rPr>
              <w:t>US$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United States dollar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/>
              </w:rPr>
              <w:t>S</w:t>
            </w:r>
            <w:r>
              <w:rPr>
                <w:i/>
                <w:vertAlign w:val="subscript"/>
              </w:rPr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Percentage time saving per lookup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/>
              </w:rPr>
              <w:t>T</w:t>
            </w:r>
            <w:r>
              <w:rPr>
                <w:i/>
                <w:vertAlign w:val="subscript"/>
              </w:rPr>
              <w:t>current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Time per lookup using the current method (min)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i/>
              </w:rPr>
              <w:t>T</w:t>
            </w:r>
            <w:r>
              <w:rPr>
                <w:i/>
                <w:vertAlign w:val="subscript"/>
              </w:rPr>
              <w:t>app</w:t>
            </w:r>
          </w:p>
        </w:tc>
        <w:tc>
          <w:tcPr>
            <w:tcW w:type="dxa" w:w="7370"/>
          </w:tcPr>
          <w:p>
            <w:pPr>
              <w:spacing w:after="40"/>
            </w:pPr>
            <w:r>
              <w:t>Time per lookup using the application (min)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