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D2A8554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</w:t>
      </w:r>
      <w:r w:rsidR="006B2497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54B8498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</w:t>
            </w:r>
            <w:r w:rsidR="006B2497">
              <w:rPr>
                <w:sz w:val="20"/>
              </w:rPr>
              <w:t>0</w:t>
            </w:r>
            <w:r>
              <w:rPr>
                <w:sz w:val="20"/>
              </w:rPr>
              <w:t>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1D532A5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74709A48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</w:t>
      </w:r>
      <w:r w:rsidR="00401A9A">
        <w:rPr>
          <w:rFonts w:ascii="Times New Roman" w:hAnsi="Times New Roman" w:cs="Times New Roman"/>
        </w:rPr>
        <w:t>0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FA75D56" w14:textId="77777777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5D8D1D9" w14:textId="77777777" w:rsidR="00010743" w:rsidRDefault="00010743" w:rsidP="00742932">
      <w:pPr>
        <w:jc w:val="both"/>
        <w:rPr>
          <w:rFonts w:cs="Arial"/>
        </w:rPr>
      </w:pPr>
    </w:p>
    <w:p w14:paraId="01AD5664" w14:textId="13055492" w:rsidR="00010743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6FD0D817" w14:textId="77777777" w:rsidR="00010743" w:rsidRDefault="00010743" w:rsidP="00A402AB">
      <w:pPr>
        <w:ind w:left="720"/>
        <w:jc w:val="both"/>
        <w:rPr>
          <w:rFonts w:cs="Arial"/>
        </w:rPr>
      </w:pPr>
    </w:p>
    <w:p w14:paraId="23E3C5BB" w14:textId="77777777" w:rsidR="00C976FD" w:rsidRPr="005D14A8" w:rsidRDefault="00C976FD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4CEAE134" w14:textId="69CE6BC5" w:rsidR="00C01CB1" w:rsidRDefault="00C01CB1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1D72B30" wp14:editId="4435FE2E">
            <wp:extent cx="5906698" cy="4323080"/>
            <wp:effectExtent l="0" t="0" r="0" b="1270"/>
            <wp:docPr id="12027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69" cy="43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231D5FB4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 in combinazione con Java JDK 23.0.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 e Bootstrap 5: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31612D80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dovrà memorizzare i metadati associati ai contenuti degli utenti e ai film. Siccome memorizzare elementi di grandi dimensioni, come immagini di copertina o altri asset, direttamente nel database come BLOB può essere oneroso, questi file saranno salvati in directory dedicate nello spazio di indirizzamento del server. Il database memorizzerà solo i percorsi relativi alle risorse.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67CE94CA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2294BFA3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51998FC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424A589A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64F393B9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449C966D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2BC385FC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6D620196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35FC233E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5D781C8E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F25745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2.5. Controllo Software</w:t>
      </w:r>
    </w:p>
    <w:p w14:paraId="1E871828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Osservando il </w:t>
      </w:r>
      <w:r w:rsidRPr="006D252F">
        <w:rPr>
          <w:rFonts w:cs="Arial"/>
          <w:i/>
          <w:iCs/>
        </w:rPr>
        <w:t>dynamic model</w:t>
      </w:r>
      <w:r w:rsidRPr="006D252F">
        <w:rPr>
          <w:rFonts w:cs="Arial"/>
        </w:rPr>
        <w:t xml:space="preserve"> prodotto in fase di analisi dei requisiti, è stato scelto un tipo di controllo centralizzato. I diagrammi di sequenza individuati sono di tipo </w:t>
      </w:r>
      <w:r w:rsidRPr="006D252F">
        <w:rPr>
          <w:rFonts w:cs="Arial"/>
          <w:i/>
          <w:iCs/>
        </w:rPr>
        <w:t>fork</w:t>
      </w:r>
      <w:r w:rsidRPr="006D252F">
        <w:rPr>
          <w:rFonts w:cs="Arial"/>
        </w:rPr>
        <w:t>, in cui il controllo è affidato a un unico oggetto centrale.</w:t>
      </w:r>
    </w:p>
    <w:p w14:paraId="3FB67EFD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In particolare,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adotta un flusso di controllo event-driven, basato sul paradigma MVC (</w:t>
      </w:r>
      <w:r w:rsidRPr="006D252F">
        <w:rPr>
          <w:rFonts w:cs="Arial"/>
          <w:i/>
          <w:iCs/>
        </w:rPr>
        <w:t>Model – View – Controller</w:t>
      </w:r>
      <w:r w:rsidRPr="006D252F">
        <w:rPr>
          <w:rFonts w:cs="Arial"/>
        </w:rPr>
        <w:t>), per garantire modularità e separazione delle responsabilità.</w:t>
      </w:r>
    </w:p>
    <w:p w14:paraId="57327C30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Funzionamento generale</w:t>
      </w:r>
    </w:p>
    <w:p w14:paraId="46D313D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Il sistema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segue un flusso di controllo centralizzato come descritto di seguito:</w:t>
      </w:r>
    </w:p>
    <w:p w14:paraId="2AAC966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Ricezione della richiesta: Il Web Server attende richieste dal browser degli utenti.</w:t>
      </w:r>
    </w:p>
    <w:p w14:paraId="3A1337A6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Elaborazione della richiesta: Quando il server riceve una richiesta, questa viene elaborata e inoltrata al Controller, che la gestisce in base alla logica applicativa.</w:t>
      </w:r>
    </w:p>
    <w:p w14:paraId="0E4ABEA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Thread dedicati: Per ogni richiesta ricevuta, il Web Server alloca un nuovo thread, consentendo la gestione concorrente di più richieste.</w:t>
      </w:r>
    </w:p>
    <w:p w14:paraId="4AC2A00A" w14:textId="0792D1C4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Risposta al client: Una volta elaborata la richiesta, il Controller restituisce il risultato al Web Server, che lo invia al browser dell’utente.</w:t>
      </w:r>
    </w:p>
    <w:p w14:paraId="27827713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Strategie per la gestione della concorrenza</w:t>
      </w:r>
    </w:p>
    <w:p w14:paraId="531EECC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Per garantire un comportamento corretto in presenza di richieste concorrenti,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applica le seguenti strategie:</w:t>
      </w:r>
    </w:p>
    <w:p w14:paraId="646E0560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boundary:</w:t>
      </w:r>
      <w:r w:rsidRPr="006D252F">
        <w:rPr>
          <w:rFonts w:cs="Arial"/>
        </w:rPr>
        <w:br/>
        <w:t>Gli oggetti boundary, che rappresentano il punto di contatto tra l’interfaccia utente e la logica applicativa, non definiscono campi, ma contengono solo variabili locali temporanee legate alla richiesta corrente. Questo approccio evita problemi di concorrenza poiché tali oggetti non sono condivisi tra thread.</w:t>
      </w:r>
    </w:p>
    <w:p w14:paraId="6BD11C79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di controllo:</w:t>
      </w:r>
      <w:r w:rsidRPr="006D252F">
        <w:rPr>
          <w:rFonts w:cs="Arial"/>
        </w:rPr>
        <w:br/>
        <w:t>Ogni sessione utente gestisce un singolo oggetto di controllo, che non viene condiviso tra più thread. Questo impedisce conflitti tra richieste concorrenti che interessano la stessa sessione.</w:t>
      </w:r>
    </w:p>
    <w:p w14:paraId="503E3DAD" w14:textId="4E8E71DF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</w:t>
      </w:r>
      <w:r>
        <w:rPr>
          <w:rFonts w:cs="Arial"/>
        </w:rPr>
        <w:t xml:space="preserve"> </w:t>
      </w:r>
      <w:r w:rsidRPr="006D252F">
        <w:rPr>
          <w:rFonts w:cs="Arial"/>
        </w:rPr>
        <w:t>entità:</w:t>
      </w:r>
      <w:r w:rsidRPr="006D252F">
        <w:rPr>
          <w:rFonts w:cs="Arial"/>
        </w:rPr>
        <w:br/>
        <w:t>L’accesso e la modifica dello stato degli oggetti entità avvengono esclusivamente attraverso metodi dedicati, riducendo il rischio di inconsistenza nei dati.</w:t>
      </w:r>
    </w:p>
    <w:p w14:paraId="7ED0E917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Poiché il sistema è progettato per operare in un contesto enterprise, le transazioni e la gestione della concorrenza sono affidate automaticamente al container del web server (Apache Tomcat). Questo approccio garantisce che tutte le operazioni avvengano in modo sicuro e controllato.</w:t>
      </w:r>
    </w:p>
    <w:p w14:paraId="3371EA70" w14:textId="77777777" w:rsidR="00867488" w:rsidRDefault="00867488" w:rsidP="006D252F">
      <w:pPr>
        <w:jc w:val="both"/>
        <w:rPr>
          <w:rFonts w:cs="Arial"/>
          <w:b/>
          <w:bCs/>
        </w:rPr>
      </w:pPr>
    </w:p>
    <w:p w14:paraId="04F147D6" w14:textId="50A2C27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55649E9D" w14:textId="1025CD2C" w:rsidR="00691D85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application,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63F25021" w14:textId="0B475FAA" w:rsidR="0023475D" w:rsidRDefault="0023475D" w:rsidP="006D252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2.7 Servizi dei Sottosistemi</w:t>
      </w:r>
    </w:p>
    <w:p w14:paraId="123303ED" w14:textId="2AA7EA72" w:rsidR="0023475D" w:rsidRDefault="0023475D" w:rsidP="006D252F">
      <w:pPr>
        <w:jc w:val="both"/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79F8802B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Pr="00D52720">
        <w:rPr>
          <w:rFonts w:cs="Arial"/>
        </w:rPr>
        <w:t>.</w:t>
      </w:r>
    </w:p>
    <w:p w14:paraId="1CA59267" w14:textId="2E6B2405" w:rsidR="0023475D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Pr="00D52720">
        <w:rPr>
          <w:rFonts w:cs="Arial"/>
          <w:i/>
          <w:iCs/>
          <w:u w:val="single"/>
        </w:rPr>
        <w:t>Film</w:t>
      </w:r>
    </w:p>
    <w:p w14:paraId="1014AC97" w14:textId="744A5267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Film al Catalogo</w:t>
      </w:r>
      <w:r w:rsidR="008F714F">
        <w:rPr>
          <w:rFonts w:cs="Arial"/>
        </w:rPr>
        <w:t>.</w:t>
      </w:r>
    </w:p>
    <w:p w14:paraId="001A5110" w14:textId="6248424F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Rimozione</w:t>
      </w:r>
      <w:r>
        <w:rPr>
          <w:rFonts w:cs="Arial"/>
        </w:rPr>
        <w:t xml:space="preserve"> Film dal Catalogo</w:t>
      </w:r>
      <w:r w:rsidR="008F714F">
        <w:rPr>
          <w:rFonts w:cs="Arial"/>
        </w:rPr>
        <w:t>.</w:t>
      </w:r>
    </w:p>
    <w:p w14:paraId="22F00929" w14:textId="0924CB83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Modifica</w:t>
      </w:r>
      <w:r>
        <w:rPr>
          <w:rFonts w:cs="Arial"/>
        </w:rPr>
        <w:t xml:space="preserve"> delle informazioni di un Film presente nel Catalogo</w:t>
      </w:r>
      <w:r w:rsidR="008F714F">
        <w:rPr>
          <w:rFonts w:cs="Arial"/>
        </w:rPr>
        <w:t>.</w:t>
      </w:r>
    </w:p>
    <w:p w14:paraId="63156FE2" w14:textId="61710A92" w:rsidR="00D52720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63A008E6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di una recensione ad un Film presente nel Catalogo</w:t>
      </w:r>
      <w:r w:rsidR="008F714F">
        <w:rPr>
          <w:rFonts w:cs="Arial"/>
        </w:rPr>
        <w:t>.</w:t>
      </w:r>
    </w:p>
    <w:p w14:paraId="2E52CBD7" w14:textId="0D82551F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Votazione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024CCF4B" w14:textId="5C083983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Segnalazione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2329ED61" w14:textId="785413AE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Rimozione</w:t>
      </w:r>
      <w:r>
        <w:rPr>
          <w:rFonts w:cs="Arial"/>
        </w:rPr>
        <w:t xml:space="preserve"> di una recensione segnalata.</w:t>
      </w:r>
    </w:p>
    <w:p w14:paraId="2026A93E" w14:textId="4C83F6E4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Approvazione</w:t>
      </w:r>
      <w:r>
        <w:rPr>
          <w:rFonts w:cs="Arial"/>
        </w:rPr>
        <w:t xml:space="preserve"> di una recensione segnalata.</w:t>
      </w:r>
    </w:p>
    <w:p w14:paraId="4DA61CF6" w14:textId="0B0F6E37" w:rsidR="00ED7206" w:rsidRDefault="00ED7206" w:rsidP="00ED7206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50DF6574" wp14:editId="61A46D27">
            <wp:extent cx="2708031" cy="1596612"/>
            <wp:effectExtent l="0" t="0" r="0" b="3810"/>
            <wp:docPr id="1114235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91" cy="161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D852" wp14:editId="5AF7626D">
            <wp:extent cx="2602523" cy="1597209"/>
            <wp:effectExtent l="0" t="0" r="7620" b="3175"/>
            <wp:docPr id="1412386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25" cy="16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7B8D" w14:textId="299F10CC" w:rsidR="009A01C2" w:rsidRPr="00401A9A" w:rsidRDefault="00ED7206" w:rsidP="006D252F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200BDD10" wp14:editId="04956581">
            <wp:extent cx="2182804" cy="1389185"/>
            <wp:effectExtent l="0" t="0" r="8255" b="1905"/>
            <wp:docPr id="156822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73" cy="141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69"/>
  </w:num>
  <w:num w:numId="6" w16cid:durableId="973095036">
    <w:abstractNumId w:val="75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6"/>
  </w:num>
  <w:num w:numId="27" w16cid:durableId="5330321">
    <w:abstractNumId w:val="15"/>
  </w:num>
  <w:num w:numId="28" w16cid:durableId="1562213219">
    <w:abstractNumId w:val="70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3"/>
  </w:num>
  <w:num w:numId="34" w16cid:durableId="1492523921">
    <w:abstractNumId w:val="71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2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4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7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8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10743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2F7DE5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B2497"/>
    <w:rsid w:val="006C6C12"/>
    <w:rsid w:val="006D252F"/>
    <w:rsid w:val="006D5510"/>
    <w:rsid w:val="00720BD9"/>
    <w:rsid w:val="00731D81"/>
    <w:rsid w:val="00742932"/>
    <w:rsid w:val="00746E6F"/>
    <w:rsid w:val="00756541"/>
    <w:rsid w:val="007656CA"/>
    <w:rsid w:val="0079371A"/>
    <w:rsid w:val="007B7A0F"/>
    <w:rsid w:val="008532CE"/>
    <w:rsid w:val="00867488"/>
    <w:rsid w:val="008B4F82"/>
    <w:rsid w:val="008D11C6"/>
    <w:rsid w:val="008F714F"/>
    <w:rsid w:val="00906559"/>
    <w:rsid w:val="00906F10"/>
    <w:rsid w:val="00915227"/>
    <w:rsid w:val="00933248"/>
    <w:rsid w:val="00951FC4"/>
    <w:rsid w:val="0096164A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976FD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0481"/>
    <w:rsid w:val="00F1603F"/>
    <w:rsid w:val="00F17D2E"/>
    <w:rsid w:val="00F225AD"/>
    <w:rsid w:val="00F515B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10</Pages>
  <Words>2101</Words>
  <Characters>11978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135</cp:revision>
  <cp:lastPrinted>2024-11-20T22:11:00Z</cp:lastPrinted>
  <dcterms:created xsi:type="dcterms:W3CDTF">2024-10-26T20:25:00Z</dcterms:created>
  <dcterms:modified xsi:type="dcterms:W3CDTF">2025-01-10T09:46:00Z</dcterms:modified>
</cp:coreProperties>
</file>