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s8zm8aq8n1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A: Vendor Questionnaire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2rrllqirvo3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Company Information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Legal company name and year established: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Primary business address: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Website URL: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Primary contact for this RFP (name, title, phone, email):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Company ownership structure: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Number of employees (total and in education division):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Annual company revenue for the past three fiscal years: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Number of K-6 education clients currently using your system: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Has your company been involved in any litigation or contract terminations in the past five years? If yes, please explain.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8bps5lnssw7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Product Information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Product name and current version: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 release date of the product: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Frequency of major and minor updates: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development roadmap for the next 24 months: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Third-party components or dependencies in your solution: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Supported browsers and minimum requirements: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 application availability (iOS/Android) and functionality: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differentiates your solution from competitors?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jhfc0bl194p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Technical Capabilities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Describe your system architecture and hosting environment: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your data backup and disaster recovery procedures: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Detail your approach to system security and data privacy: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Describe your API capabilities and documentation: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integration methods does your system support?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Describe your system's scalability to accommodate growth: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your approach to performance monitoring and optimization: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automated testing procedures do you employ?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9iqp3bgiab7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Implementation Approach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Describe your typical implementation methodology: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your approach to data migration from legacy systems?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resources do you expect from our district during implementation?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manage scope changes during implementation?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your typical timeline for a district of our size?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ensure data integrity during migration?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Describe your user acceptance testing process: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post-implementation review processes do you conduct?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ms0pp6kk562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Training and Support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Describe your training approach and available formats: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documentation and self-help resources are available?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Detail your technical support structure and hours: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Describe your issue escalation process: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your average response time for critical issues?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gather and incorporate customer feedback?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user community resources do you offer?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235xvx84vrv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References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three K-6 education references of similar size and complexity: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each reference, include: district name, contact person, role, email, phone, and project scope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