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mfnj5j9md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Cost Proposal Template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8.2814971006856"/>
        <w:gridCol w:w="878.2709541381128"/>
        <w:gridCol w:w="878.2709541381128"/>
        <w:gridCol w:w="878.2709541381128"/>
        <w:gridCol w:w="878.2709541381128"/>
        <w:gridCol w:w="878.2709541381128"/>
        <w:gridCol w:w="1470.3637322087507"/>
        <w:tblGridChange w:id="0">
          <w:tblGrid>
            <w:gridCol w:w="3498.2814971006856"/>
            <w:gridCol w:w="878.2709541381128"/>
            <w:gridCol w:w="878.2709541381128"/>
            <w:gridCol w:w="878.2709541381128"/>
            <w:gridCol w:w="878.2709541381128"/>
            <w:gridCol w:w="878.2709541381128"/>
            <w:gridCol w:w="1470.36373220875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5-Year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Software/Subscription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Core System License/Subscription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Additional Modules (itemize)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 Licenses (if applicable)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System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Data Migration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Integration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Testing and 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Administrator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Teacher/Staff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Train-the-Trainer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Custom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 and 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Standard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Premium Support (if offered)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Updates and Upgrades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Travel Expenses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Hardware (if applicable)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Third-Party Licenses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Please provide detailed descriptions of all line items in your cost proposal.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identify one-time vs. recurring costs.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any volume discounts or educational pricing available.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payment terms and schedule.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any costs that may vary based on actual implementation requirements.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