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dts9qjqaf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D: District Technical Environment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kb22fbcwj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Network Infrastructure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schools connected via 10Gbps fiber network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Internet connectivity: 2Gbps redundant connections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Cisco networking equipment throughout district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Cloud-based content filtering (Lightspeed Systems)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District data center with virtualized server environment (VMware)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Disaster recovery site with 4-hour RPO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j4kqjgu7k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End-User Devices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Administrative Staff: Windows 11 desktops/laptops (replaced on 4-year cycle)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Teachers: Dell Latitude laptops with Windows 11 (replaced on 3-year cycle)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grades K-2: iPad tablets (classroom sets)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Students grades 3-6: Chromebooks (1:1 program)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Classroom Technology: Interactive displays in all classrooms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mjpcxpig9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Systems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Active Directory for staff accounts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Workspace for Education for student accounts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Azure AD for single sign-on capabilities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MFA required for all administrative access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yo2hx3coy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Software Environment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 Information System: StudentTrack 2012 (on-premises)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System: Oracle Financial Suite (cloud-based)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Management System: Canvas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Assessment System: NWEA MAP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Platform: ParentSquare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Library Management: Follett Destiny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Education: PowerIEP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Microsoft Exchange Online (staff), Gmail (students)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zffg5ijmn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Requirements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system must integrate with: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Oracle Financial Suite (via API)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Directory/Azure AD (for authentication)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Workspace (roster synchronization)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PowerIEP (student services data)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ParentSquare (for notifications)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reporting system (via SFTP file exchange)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771t40kpn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Requirements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encryption at rest and in transit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audit logging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FERPA, COPPA, and state privacy laws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assessments and penetration testing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loss prevention capabilities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4bbeqczhl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Support Environment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Help Desk staffed 7:30 AM - 4:30 PM on school days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IT support technicians district-wide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database administrator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educational technology coaches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management committee for major system changes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