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8du2nh46e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E: Sample Contract Terms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terms will be included in the final contract with the selected vendor. These are provided for informational purposes and are non-negotiable district requirements.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zlein5213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Term and Renewal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contract term shall be for three (3) years from the date of system acceptance.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District shall have the option to renew for two (2) additional one-year terms.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for optional renewal years must be specified in the proposal and shall not increase by more than 3% annually.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8sxyh2jlf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will be deemed accepted when all of the following conditions have been met: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contractually required features are fully functional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performs according to agreed-upon performance metrics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migration is complete and verified for accuracy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acceptance testing is completed without critical issues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has been provided to all designated staff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District shall have 30 days to test the system before final acceptance.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Acceptance may be conditional based on resolution of non-critical issues.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ihf22cxv5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Service Level Agreement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uptime requirement of 99.9%, measured monthly excluding scheduled maintenance.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Scheduled maintenance must be performed during non-school hours and with 7 days advance notice.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maintenance requires notification to designated district contact.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time requirements: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 issues: 1 hour response, 4 hour resolution plan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priority: 4 hour response, 8 hour resolution plan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 priority: 8 hour response, 3 business day resolution plan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priority: 24 hour response, 10 business day resolution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penalties for failure to meet SLA requirements will be specified in the final contract.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ks2x7phgt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Ownership and Privacy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district data remains the sole property of Woodland Heights School District.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shall not use district data for any purpose other than providing the contracted services.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shall not share district data with third parties without explicit written permission.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must comply with all applicable data privacy laws and regulations.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must provide data export capabilities throughout the contract term.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contract termination, vendor must return all district data in an agreed-upon format and certify deletion from vendor systems.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yv9ahyfw8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Warranty and Support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Vendor warrants that the system will perform as specified in the RFP response.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will provide technical support according to the SLA throughout the contract term.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updates and bug fixes will be provided at no additional cost.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District shall receive all new features and enhancements released during the contract term.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shall maintain a help desk accessible by phone and email during district business hours.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qm7wga2d6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Termination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District may terminate the contract for convenience with 90 days written notice.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District may terminate for cause with 30 days written notice if vendor fails to meet contractual obligations.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event of termination, vendor shall provide transition assistance for up to 180 days at the contracted rate.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cjcmchqcz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Payment Terms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implementation fees will be paid according to the following schedule: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25% upon contract signing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25% upon completion of system configuration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25% upon completion of data migration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25% upon system acceptance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subscription/license fees will be paid annually in advance.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terms are Net 30 from receipt of correct invoice.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njplnjb0j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Insurance Requirements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Vendor shall maintain and provide proof of: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Commercial General Liability: $2,000,000 per occurrence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Errors &amp; Omissions: $5,000,000 per claim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Cyber Liability: $5,000,000 per claim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Workers' Compensation: As required by state law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Automobile Liability: $1,000,000 combined single limit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