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HealthSync API Documentation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RESTful API for HealthSync healthcare management system. Base URL: https://api.healthsync.com/v1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endpoints require Bearer token authentication: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503555"/>
            <wp:effectExtent b="0" l="0" r="0" t="0"/>
            <wp:docPr id="17740503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EHR Management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Patient Record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470535"/>
            <wp:effectExtent b="0" l="0" r="0" t="0"/>
            <wp:docPr id="17740503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patientId (path, required): Unique identifier of the patient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(200 OK)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"id": "string",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"demographics":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"firstName": "string",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"lastName": "string",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"dob": "date",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"gender": "string"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"medicalHistory": [...],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"medications": [...],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"allergies": [...]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Appointment Scheduling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Appointment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510540"/>
            <wp:effectExtent b="0" l="0" r="0" t="0"/>
            <wp:docPr id="17740503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"patientId": "string",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"providerId": "string",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"datetime": "string",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"type": "string",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"notes": "string"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(201 Created)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"id": "string",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"status": "confirmed",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"details": {...}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Claim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528320"/>
            <wp:effectExtent b="0" l="0" r="0" t="0"/>
            <wp:docPr id="17740503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"patientId": "string",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"visitId": "string",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"procedures": [{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"code": "string",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"description": "string",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"amount": "number"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Telemedicine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Session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943600" cy="527050"/>
            <wp:effectExtent b="0" l="0" r="0" t="0"/>
            <wp:docPr id="17740503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POST /telemedicine/sessions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"appointmentId": "string",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"patientId": "string",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"providerId": "string"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(201 Created)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"sessionId": "string",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"joinUrl": "string",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"token": "string"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Error Responses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Error Format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"code": "string",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"message": "string",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"details": {}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Error Codes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400: Bad Request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401: Unauthorized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403: Forbidden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404: Not Found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429: Too Many Requests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500: Internal Server Error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Rate Limiting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1000 requests per minute per API key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Rate limit headers included in responses: 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X-RateLimit-Limit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X-RateLimit-Remaining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X-RateLimit-Reset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Security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All data encrypted in transit (TLS 1.3)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HIPAA-compliant data handling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Audit logging for all PHI access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C50C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C50C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C50C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50C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50C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50C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50C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50C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50C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C50C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C50C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C50C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50C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50C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50C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50C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50C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50C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C50C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50C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C50C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50C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C50C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C50C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C50C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C50C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C50C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50C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C50C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q9QiAeooHvADzFdspF20NqCk9w==">CgMxLjA4AHIhMVVuV1JCMHhlLWpHcFlXRkREZUs1TzN5Vlo1aGxUcU5r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2025-01-08T17:12:00Z</dcterms:created>
  <dc:creator>Kristy Tupper</dc:creator>
</cp:coreProperties>
</file>