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Kickoff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July 1,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Dr. Emily Roberts (CEO, MedSolutions)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Bill Myers, Project Manager (Insight Health Consulting Group)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Michael Chen (CTO, MedSolutions)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Sarah Martinez (COO, MedSolutions)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Anne Scoville, SME &amp; Lead Business Analyst (Insight Health Consulting Group)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Dave, Sugrue, SVP of MedSolutions New Initiatives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Nancy Hurley, (CCO, MedSolutions)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HealthSync Project Goals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Roles and Responsibilities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Timeline Overview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Risk Management and Mitigation Strategies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Discussion Points: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Goals</w:t>
      </w:r>
      <w:r w:rsidDel="00000000" w:rsidR="00000000" w:rsidRPr="00000000">
        <w:rPr>
          <w:rtl w:val="0"/>
        </w:rPr>
        <w:t xml:space="preserve">: Develop an integrated healthcare management platform tailored for medium-sized clinics. Deliverables include EHR, appointment scheduling, billing, telemedicine, and patient engagement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​​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Roles and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MedSolutions team to lead development and compliance efforts.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Insight Health to provide market research and regulatory guidance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Target completion by March 31, 2024, with key milestones every 2 months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Regulatory changes.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challenges with third-party systems.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Mitigation: Regular compliance reviews, early prototyping, and risk workshops</w:t>
      </w:r>
      <w:r w:rsidDel="00000000" w:rsidR="00000000" w:rsidRPr="00000000">
        <w:rPr>
          <w:rFonts w:ascii="Arial" w:cs="Arial" w:eastAsia="Arial" w:hAnsi="Arial"/>
          <w:rtl w:val="0"/>
        </w:rPr>
        <w:t xml:space="preserve">​​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Finalize stakeholder interviews by July 15.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Schedule bi-weekly sprint reviews starting October 2023.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2AE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2AE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2AE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2AE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2AE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2AE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2AE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2AE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2AE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2AE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2AE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2AE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2AE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2AE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2AE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2AE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2AE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2AE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2AE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2A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2AE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2AE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2AE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2AE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2AE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2AE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2AE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2AE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2AE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DIRDdWXaKcG4x8fSoq4KZ2VSIg==">CgMxLjA4AHIhMVA4bEt0T3VYU0lkRmZZeW5mWjI2ODhqbml1TkZHa2RX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2025-01-08T16:52:00Z</dcterms:created>
  <dc:creator>Kristy Tupper</dc:creator>
</cp:coreProperties>
</file>