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HealthSync: Prior Requirements and System Documentation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Purpose This document outlines the requirements and system specifications for HealthSync, an integrated healthcare management software designed for medium-sized clinics.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Scope HealthSync aims to streamline patient records, appointment scheduling, billing, and telemedicine services for clinics with 5 to 50 practitioners.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 Definitions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EHR: Electronic Health Records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HIPAA: Health Insurance Portability and Accountability Act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API: Application Programming Interface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System Description HealthSync is a cloud-based, integrated healthcare management system that provides comprehensive tools for patient care, clinic administration, and telemedicine services.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 User Roles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Administrators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Physicians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Nurses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 Desk Staff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Billing Specialists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Electronic Health Records (EHR) Module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3.1.1 Create and manage patient profiles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3.1.2 Record and update medical histories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3.1.3 Manage prescriptions and medication records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3.1.4 Document patient encounters and progress notes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3.1.5 Generate and manage care plans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3.1.6 Integrate with laboratory and imaging systems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 Appointment Scheduling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3.2.1 Create, modify, and cancel appointments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3.2.2 Implement multi-provider scheduling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3.2.3 Send automated appointment reminders via email and SMS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3.2.4 Allow patient self-scheduling through a portal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 Billing and Claims Processing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3.3.1 Generate and submit insurance claims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3.3.2 Process payments and manage patient balances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3.3.3 Generate financial reports and analytics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3.3.4 Integrate with common payment gateways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 Telemedicine Services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3.4.1 Conduct secure video consultations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3.4.2 Share and annotate medical images during consultations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3.4.3 Integrate with EHR for documentation during telemedicine visits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3.4.4 Provide a waiting room feature for patients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3.5 Reporting and Analytics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3.5.1 Generate customizable clinical and operational reports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3.5.2 Provide real-time dashboards for key performance indicators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3.5.3 Implement predictive analytics for patient outcomes and clinic operations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3.6 Patient Portal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3.6.1 Allow patients to view their medical records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3.6.2 Enable secure messaging between patients and providers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3.6.3 Provide prescription refill requests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3.6.4 Allow patients to view and pay bills online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Performance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4.1.1 Support up to 500 concurrent users without performance degradation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4.1.2 Ensure page load times of less than 2 seconds for 95% of requests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4.1.3 Process database transactions within 100 milliseconds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 Security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4.2.1 Comply with HIPAA regulations for data privacy and security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4.2.2 Implement role-based access control (RBAC)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4.2.3 Use encryption for data at rest and in transit (minimum AES-256)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4.2.4 Conduct regular security audits and penetration testing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 Reliability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4.3.1 Achieve 99.9% system uptime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4.3.2 Implement automated daily backups with point-in-time recovery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4.3.3 Provide a disaster recovery plan with RPO &lt; 1 hour and RTO &lt; 4 hours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4.4 Scalability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4.4.1 Support horizontal scaling to accommodate growing user base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4.4.2 Handle data growth of up to 1TB per year efficiently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4.5 Usability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4.5.1 Design an intuitive user interface requiring minimal training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4.5.2 Ensure accessibility compliance with WCAG 2.1 Level AA standards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4.5.3 Support responsive design for access on various devices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4.6 Interoperability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4.6.1 Implement HL7 FHIR standards for healthcare data exchange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4.6.2 Provide RESTful APIs for third-party integrations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4.6.3 Support integration with common EHR systems (Epic, Cerner, Allscripts)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High-Level Architecture HealthSync will follow a microservices architecture, with the following main components: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React.js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Node.js with Express.js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PostgreSQL for relational data, MongoDB for unstructured data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Caching: Redis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 Queue: RabbitMQ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Engine: Elasticsearch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Containerization: Docker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Orchestration: Kubernetes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 Data Model [Include an entity-relationship diagram or description of key data entities]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 API Design RESTful API endpoints will be provided for all major functionalities, following OpenAPI 3.0 specifications.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5.4 Integration Points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Electronic Health Records systems (Epic, Cerner, Allscripts)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Laboratory Information Systems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Imaging systems (PACS/RIS)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Insurance claim clearinghouses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gateways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and Deployment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 Development Methodology Agile Scrum with two-week sprints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 Version Control Git with GitHub for source code management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6.3 Continuous Integration/Continuous Deployment (CI/CD) Jenkins for automated building, testing, and deployment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6.4 Testing Strategy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Testing: Jest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Testing: Postman/Newman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Testing: Selenium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Testing: Apache JMeter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6.5 Deployment Environment Amazon Web Services (AWS) cloud infrastructure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Compliance and Regulatory Requirements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 HIPAA Compliance Ensure all aspects of the system adhere to HIPAA Privacy and Security Rules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 HITECH Act Comply with HITECH Act requirements for the meaningful use of EHR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 21st Century Cures Act Adhere to information blocking rules and promote interoperability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7.4 State-Specific Regulations Comply with relevant state laws regarding telemedicine and electronic prescribing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Assumptions and Constraints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 Assumptions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have basic computer literacy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Clinics have reliable internet connectivity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partners will provide necessary API access and documentation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 Constraints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Development must be completed within 9 months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must operate within a budget of $5 million for initial development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integrations are subject to the limitations of external systems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[Include definitions of key terms and acronyms used throughout the document]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[Include any additional diagrams, wireframes, or supplementary information]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a comprehensive guide for the development of HealthSync, outlining both functional and non-functional requirements, as well as key architectural decisions and compliance considerations. It should be used as a reference throughout the development process and updated as necessary to reflect any approved changes in scope or requirements.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