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01736"/>
          <w:sz w:val="56"/>
          <w:szCs w:val="56"/>
        </w:rPr>
        <w:t xml:space="preserve">tvist</w:t>
      </w:r>
      <w:r>
        <w:rPr>
          <w:b/>
          <w:bCs/>
          <w:color w:val="2DD4BF"/>
          <w:sz w:val="56"/>
          <w:szCs w:val="56"/>
        </w:rPr>
        <w:t xml:space="preserve">.ai</w:t>
      </w:r>
      <w:r>
        <w:rPr>
          <w:color w:val="5A6480"/>
          <w:sz w:val="32"/>
          <w:szCs w:val="32"/>
        </w:rPr>
        <w:t xml:space="preserve">   Executive Summary</w:t>
      </w:r>
    </w:p>
    <w:p>
      <w:pPr>
        <w:spacing w:after="60"/>
      </w:pPr>
      <w:r>
        <w:rPr>
          <w:i/>
          <w:iCs/>
          <w:color w:val="0F766E"/>
          <w:sz w:val="23"/>
          <w:szCs w:val="23"/>
        </w:rPr>
        <w:t xml:space="preserve">The settlement-trust layer for agentic commerce — jurisdiction, consent, escrow, and recall for AI agents that move money.</w:t>
      </w:r>
    </w:p>
    <w:p>
      <w:pPr>
        <w:spacing w:after="200"/>
      </w:pPr>
      <w:r>
        <w:rPr>
          <w:b/>
          <w:bCs/>
          <w:color w:val="5A6480"/>
          <w:sz w:val="20"/>
          <w:szCs w:val="20"/>
        </w:rPr>
        <w:t xml:space="preserve">22 jurisdictions · 30 live endpoints · 7 legal categories · 4 trust relationships · 595 tests green</w:t>
      </w:r>
    </w:p>
    <w:p>
      <w:pPr>
        <w:pStyle w:val="Heading1"/>
      </w:pPr>
      <w:r>
        <w:t xml:space="preserve">1. The problem</w:t>
      </w:r>
    </w:p>
    <w:p>
      <w:pPr>
        <w:spacing w:after="120"/>
      </w:pPr>
      <w:r>
        <w:rPr>
          <w:color w:val="101736"/>
          <w:sz w:val="21"/>
          <w:szCs w:val="21"/>
        </w:rPr>
        <w:t xml:space="preserve">Two shifts collided in 2025–26, and the layer between them was never built. </w:t>
      </w:r>
      <w:r>
        <w:rPr>
          <w:b/>
          <w:bCs/>
          <w:color w:val="101736"/>
          <w:sz w:val="21"/>
          <w:szCs w:val="21"/>
        </w:rPr>
        <w:t xml:space="preserve">AI agents now spend money on people's behalf</w:t>
      </w:r>
      <w:r>
        <w:rPr>
          <w:color w:val="101736"/>
          <w:sz w:val="21"/>
          <w:szCs w:val="21"/>
        </w:rPr>
        <w:t xml:space="preserve"> — roughly 1 in 6 Black Friday 2025 purchases were AI-assisted; generative-AI retail traffic grew 4,700% year over year (Adobe); Juniper (2026) names trust the #1 barrier to agentic commerce, ahead of every technical concern. </w:t>
      </w:r>
      <w:r>
        <w:rPr>
          <w:b/>
          <w:bCs/>
          <w:color w:val="101736"/>
          <w:sz w:val="21"/>
          <w:szCs w:val="21"/>
        </w:rPr>
        <w:t xml:space="preserve">And the rails they spend on are instant and irrevocable by regulation</w:t>
      </w:r>
      <w:r>
        <w:rPr>
          <w:color w:val="101736"/>
          <w:sz w:val="21"/>
          <w:szCs w:val="21"/>
        </w:rPr>
        <w:t xml:space="preserve"> — Pix (MED 2.0, mandatory 2026), SEPA Instant (mandatory 2025, 10-second finality), FedNow, UPI. The ECB warns instant-payment fraud risk is “up to 10× higher.” Once the money lands, it does not come back like a card chargeback.</w:t>
      </w:r>
    </w:p>
    <w:p>
      <w:pPr>
        <w:spacing w:after="120"/>
      </w:pPr>
      <w:r>
        <w:rPr>
          <w:color w:val="101736"/>
          <w:sz w:val="21"/>
          <w:szCs w:val="21"/>
        </w:rPr>
        <w:t xml:space="preserve">Dispute economics were already broken on cards: 106M disputes at Visa alone in 2025 (heading to ~324M by 2028), 40–80% of e-commerce disputes are friendly fraud, and merchants face ~$28B/yr in chargeback losses.</w:t>
      </w:r>
    </w:p>
    <w:p>
      <w:pPr>
        <w:spacing w:after="120"/>
      </w:pPr>
      <w:r>
        <w:rPr>
          <w:b/>
          <w:bCs/>
          <w:color w:val="101736"/>
          <w:sz w:val="21"/>
          <w:szCs w:val="21"/>
        </w:rPr>
        <w:t xml:space="preserve">Net: </w:t>
      </w:r>
      <w:r>
        <w:rPr>
          <w:color w:val="101736"/>
          <w:sz w:val="21"/>
          <w:szCs w:val="21"/>
        </w:rPr>
        <w:t xml:space="preserve">when an agent pays the wrong party, exceeds its mandate, or prepays for a service that never arrives — on a settlement-final rail, across borders where every rail speaks a different dispute language — there is no recourse layer. And as agents delegate to sub-agents and trade with agents they have never met, the authority chain itself has no enforcement: one rogue sub-agent unwinds the whole chain of trust. Nobody owns the cross-section.</w:t>
      </w:r>
    </w:p>
    <w:p>
      <w:pPr>
        <w:pStyle w:val="Heading1"/>
      </w:pPr>
      <w:r>
        <w:t xml:space="preserve">2. The market today — and its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Player / category</w:t>
            </w:r>
          </w:p>
        </w:tc>
        <w:tc>
          <w:tcPr>
            <w:tcW w:type="dxa" w:w="330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What it solves</w:t>
            </w:r>
          </w:p>
        </w:tc>
        <w:tc>
          <w:tcPr>
            <w:tcW w:type="dxa" w:w="346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What it doesn't</w:t>
            </w:r>
          </w:p>
        </w:tc>
      </w:tr>
      <w:tr>
        <w:tc>
          <w:tcPr>
            <w:tcW w:type="dxa" w:w="26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Visa AI dispute suite (6 tools, 2026)</w:t>
            </w:r>
          </w:p>
        </w:tc>
        <w:tc>
          <w:tcPr>
            <w:tcW w:type="dxa" w:w="3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Card dispute automation at network scale</w:t>
            </w:r>
          </w:p>
        </w:tc>
        <w:tc>
          <w:tcPr>
            <w:tcW w:type="dxa" w:w="34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Card-only, single network; competes with its own ecosystem</w:t>
            </w:r>
          </w:p>
        </w:tc>
      </w:tr>
      <w:tr>
        <w:tc>
          <w:tcPr>
            <w:tcW w:type="dxa" w:w="26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Mastercard (Mastercom, Ethoca, Verifiable Intent, Agent Pay)</w:t>
            </w:r>
          </w:p>
        </w:tc>
        <w:tc>
          <w:tcPr>
            <w:tcW w:type="dxa" w:w="3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Card disputes as APIs; open-source intent standard</w:t>
            </w:r>
          </w:p>
        </w:tc>
        <w:tc>
          <w:tcPr>
            <w:tcW w:type="dxa" w:w="34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Protocols, not operations: no cross-rail orchestration, no escrow</w:t>
            </w:r>
          </w:p>
        </w:tc>
      </w:tr>
      <w:tr>
        <w:tc>
          <w:tcPr>
            <w:tcW w:type="dxa" w:w="26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Amex Agent Purchase Protection</w:t>
            </w:r>
          </w:p>
        </w:tc>
        <w:tc>
          <w:tcPr>
            <w:tcW w:type="dxa" w:w="3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Liability cover for agent purchases</w:t>
            </w:r>
          </w:p>
        </w:tc>
        <w:tc>
          <w:tcPr>
            <w:tcW w:type="dxa" w:w="34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Closed-loop — Amex only</w:t>
            </w:r>
          </w:p>
        </w:tc>
      </w:tr>
      <w:tr>
        <w:tc>
          <w:tcPr>
            <w:tcW w:type="dxa" w:w="26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Agent-payment protocols (Google AP2, OpenAI ACP, OKX APP, Coinbase x402)</w:t>
            </w:r>
          </w:p>
        </w:tc>
        <w:tc>
          <w:tcPr>
            <w:tcW w:type="dxa" w:w="3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Agent checkout &amp; payment execution</w:t>
            </w:r>
          </w:p>
        </w:tc>
        <w:tc>
          <w:tcPr>
            <w:tcW w:type="dxa" w:w="34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Dispute resolution “future scope” or absent; x402 ships no dispute layer</w:t>
            </w:r>
          </w:p>
        </w:tc>
      </w:tr>
      <w:tr>
        <w:tc>
          <w:tcPr>
            <w:tcW w:type="dxa" w:w="26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Chargeback SaaS (Chargeflow, …)</w:t>
            </w:r>
          </w:p>
        </w:tc>
        <w:tc>
          <w:tcPr>
            <w:tcW w:type="dxa" w:w="3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Card representment for merchants</w:t>
            </w:r>
          </w:p>
        </w:tc>
        <w:tc>
          <w:tcPr>
            <w:tcW w:type="dxa" w:w="34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Card rails only; nothing for irrevocable A2A or agent mandates</w:t>
            </w:r>
          </w:p>
        </w:tc>
      </w:tr>
      <w:tr>
        <w:tc>
          <w:tcPr>
            <w:tcW w:type="dxa" w:w="26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Escrow / custody (Modulr, Trustly, Currencycloud)</w:t>
            </w:r>
          </w:p>
        </w:tc>
        <w:tc>
          <w:tcPr>
            <w:tcW w:type="dxa" w:w="3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Licensed fund-holding on specific rails</w:t>
            </w:r>
          </w:p>
        </w:tc>
        <w:tc>
          <w:tcPr>
            <w:tcW w:type="dxa" w:w="34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No programmable, dispute-aware, rail-agnostic escrow primitive</w:t>
            </w:r>
          </w:p>
        </w:tc>
      </w:tr>
    </w:tbl>
    <w:p>
      <w:pPr>
        <w:spacing w:after="200"/>
      </w:pPr>
      <w:r>
        <w:rPr>
          <w:color w:val="101736"/>
          <w:sz w:val="21"/>
          <w:szCs w:val="21"/>
        </w:rPr>
        <w:t xml:space="preserve">Seven agent-payment protocols, four card networks, ~$50B of manual escrow — each with its own (or zero) dispute taxonomy. </w:t>
      </w:r>
      <w:r>
        <w:rPr>
          <w:b/>
          <w:bCs/>
          <w:color w:val="101736"/>
          <w:sz w:val="21"/>
          <w:szCs w:val="21"/>
        </w:rPr>
        <w:t xml:space="preserve">Everyone built rails and intent standards. Nobody built the dispute + escrow layer across them.</w:t>
      </w:r>
    </w:p>
    <w:p>
      <w:pPr>
        <w:pStyle w:val="Heading1"/>
      </w:pPr>
      <w:r>
        <w:t xml:space="preserve">3. The Tvist solution</w:t>
      </w:r>
    </w:p>
    <w:p>
      <w:pPr>
        <w:spacing w:after="120"/>
      </w:pPr>
      <w:r>
        <w:rPr>
          <w:color w:val="101736"/>
          <w:sz w:val="21"/>
          <w:szCs w:val="21"/>
        </w:rPr>
        <w:t xml:space="preserve">A thin orchestration layer — not a bank; regulated custody partners hold funds — with four primitives that fire in order around every agent transaction:</w:t>
      </w:r>
    </w:p>
    <w:p>
      <w:pPr>
        <w:pStyle w:val="ListParagraph"/>
        <w:numPr>
          <w:ilvl w:val="0"/>
          <w:numId w:val="2"/>
        </w:numPr>
        <w:spacing w:after="80"/>
      </w:pPr>
      <w:r>
        <w:rPr>
          <w:color w:val="101736"/>
          <w:sz w:val="21"/>
          <w:szCs w:val="21"/>
        </w:rPr>
        <w:t xml:space="preserve">1 jurisdiction — Nash-optimal region, agreed before funds move</w:t>
      </w:r>
    </w:p>
    <w:p>
      <w:pPr>
        <w:pStyle w:val="ListParagraph"/>
        <w:numPr>
          <w:ilvl w:val="0"/>
          <w:numId w:val="2"/>
        </w:numPr>
        <w:spacing w:after="80"/>
      </w:pPr>
      <w:r>
        <w:rPr>
          <w:color w:val="101736"/>
          <w:sz w:val="21"/>
          <w:szCs w:val="21"/>
        </w:rPr>
        <w:t xml:space="preserve">2 consent — mandate/delegation checked before settlement</w:t>
      </w:r>
    </w:p>
    <w:p>
      <w:pPr>
        <w:pStyle w:val="ListParagraph"/>
        <w:numPr>
          <w:ilvl w:val="0"/>
          <w:numId w:val="2"/>
        </w:numPr>
        <w:spacing w:after="80"/>
      </w:pPr>
      <w:r>
        <w:rPr>
          <w:color w:val="101736"/>
          <w:sz w:val="21"/>
          <w:szCs w:val="21"/>
        </w:rPr>
        <w:t xml:space="preserve">3 escrow — funds release only on delivery proof</w:t>
      </w:r>
    </w:p>
    <w:p>
      <w:pPr>
        <w:pStyle w:val="ListParagraph"/>
        <w:numPr>
          <w:ilvl w:val="0"/>
          <w:numId w:val="2"/>
        </w:numPr>
        <w:spacing w:after="80"/>
      </w:pPr>
      <w:r>
        <w:rPr>
          <w:color w:val="101736"/>
          <w:sz w:val="21"/>
          <w:szCs w:val="21"/>
        </w:rPr>
        <w:t xml:space="preserve">4 resolution — regime-gated recall + law-cited disputes</w:t>
      </w:r>
    </w:p>
    <w:p>
      <w:pPr>
        <w:spacing w:after="80"/>
      </w:pPr>
      <w:r>
        <w:rPr>
          <w:b/>
          <w:bCs/>
          <w:color w:val="101736"/>
          <w:sz w:val="21"/>
          <w:szCs w:val="21"/>
        </w:rPr>
        <w:t xml:space="preserve">Three capabilities complete the layer:</w:t>
      </w:r>
    </w:p>
    <w:p>
      <w:pPr>
        <w:pStyle w:val="ListParagraph"/>
        <w:numPr>
          <w:ilvl w:val="0"/>
          <w:numId w:val="2"/>
        </w:numPr>
        <w:spacing w:after="80"/>
      </w:pPr>
      <w:r>
        <w:rPr>
          <w:b/>
          <w:bCs/>
          <w:color w:val="101736"/>
          <w:sz w:val="21"/>
          <w:szCs w:val="21"/>
        </w:rPr>
        <w:t xml:space="preserve">Grounded in law. </w:t>
      </w:r>
      <w:r>
        <w:rPr>
          <w:color w:val="101736"/>
          <w:sz w:val="21"/>
          <w:szCs w:val="21"/>
        </w:rPr>
        <w:t xml:space="preserve">Every dispute code maps to one of 7 civil/commercial-law categories; every jurisdiction carries its operative statutes, scheme rulebooks, and regulator with links to the official source. An accepted dispute returns the citation string inline, selected by the region's legal tradition — BGB §177 falsus procurator in Brazil, UCC §2-711 in India (see §7).</w:t>
      </w:r>
    </w:p>
    <w:p>
      <w:pPr>
        <w:pStyle w:val="ListParagraph"/>
        <w:numPr>
          <w:ilvl w:val="0"/>
          <w:numId w:val="2"/>
        </w:numPr>
        <w:spacing w:after="80"/>
      </w:pPr>
      <w:r>
        <w:rPr>
          <w:b/>
          <w:bCs/>
          <w:color w:val="101736"/>
          <w:sz w:val="21"/>
          <w:szCs w:val="21"/>
        </w:rPr>
        <w:t xml:space="preserve">x402 on-rail agent payments. </w:t>
      </w:r>
      <w:r>
        <w:rPr>
          <w:color w:val="101736"/>
          <w:sz w:val="21"/>
          <w:szCs w:val="21"/>
        </w:rPr>
        <w:t xml:space="preserve">The HTTP-native rail agents pay with: a 402 challenge with structured requirements, a signed X-PAYMENT retry (EIP-3009-shaped), facilitator verify/settle, and a settlement receipt. Replay-safe, and the principal's consent cap is enforced even on this irrevocable on-chain rail.</w:t>
      </w:r>
    </w:p>
    <w:p>
      <w:pPr>
        <w:pStyle w:val="ListParagraph"/>
        <w:numPr>
          <w:ilvl w:val="0"/>
          <w:numId w:val="2"/>
        </w:numPr>
        <w:spacing w:after="80"/>
      </w:pPr>
      <w:r>
        <w:rPr>
          <w:b/>
          <w:bCs/>
          <w:color w:val="101736"/>
          <w:sz w:val="21"/>
          <w:szCs w:val="21"/>
        </w:rPr>
        <w:t xml:space="preserve">Machine-to-machine, same gates. </w:t>
      </w:r>
      <w:r>
        <w:rPr>
          <w:color w:val="101736"/>
          <w:sz w:val="21"/>
          <w:szCs w:val="21"/>
        </w:rPr>
        <w:t xml:space="preserve">Attenuated delegation chains (a sub-agent's budget can never exceed its delegator's; chains trace to the root mandate) and one-call agent↔agent pacts — Nash region + mandate check + atomically funded escrow — make agent-swarm commerce safe with zero humans in the loop.</w:t>
      </w:r>
    </w:p>
    <w:p>
      <w:pPr>
        <w:pStyle w:val="Heading1"/>
      </w:pPr>
      <w:r>
        <w:t xml:space="preserve">4. The trust spectrum — four relationships, one gate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680"/>
        <w:gridCol w:w="2680"/>
      </w:tblGrid>
      <w:tr>
        <w:tc>
          <w:tcPr>
            <w:tcW w:type="dxa" w:w="190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Relationship</w:t>
            </w:r>
          </w:p>
        </w:tc>
        <w:tc>
          <w:tcPr>
            <w:tcW w:type="dxa" w:w="210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Gate</w:t>
            </w:r>
          </w:p>
        </w:tc>
        <w:tc>
          <w:tcPr>
            <w:tcW w:type="dxa" w:w="268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Pain it solves</w:t>
            </w:r>
          </w:p>
        </w:tc>
        <w:tc>
          <w:tcPr>
            <w:tcW w:type="dxa" w:w="268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Flow</w:t>
            </w:r>
          </w:p>
        </w:tc>
      </w:tr>
      <w:tr>
        <w:tc>
          <w:tcPr>
            <w:tcW w:type="dxa" w:w="19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Human -&gt; Agent</w:t>
            </w:r>
          </w:p>
        </w:tc>
        <w:tc>
          <w:tcPr>
            <w:tcW w:type="dxa" w:w="21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consent</w:t>
            </w:r>
          </w:p>
        </w:tc>
        <w:tc>
          <w:tcPr>
            <w:tcW w:type="dxa" w:w="268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an agent overspends the human's mandate on a final rail</w:t>
            </w:r>
          </w:p>
        </w:tc>
        <w:tc>
          <w:tcPr>
            <w:tcW w:type="dxa" w:w="268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POST /consent -&gt; POST /pay {consent_id} (403 over budget)</w:t>
            </w:r>
          </w:p>
        </w:tc>
      </w:tr>
      <w:tr>
        <w:tc>
          <w:tcPr>
            <w:tcW w:type="dxa" w:w="19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Agent -&gt; Sub-agent</w:t>
            </w:r>
          </w:p>
        </w:tc>
        <w:tc>
          <w:tcPr>
            <w:tcW w:type="dxa" w:w="21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delegation (attenuated)</w:t>
            </w:r>
          </w:p>
        </w:tc>
        <w:tc>
          <w:tcPr>
            <w:tcW w:type="dxa" w:w="268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sub-agents exceed their delegator's authority; no chain control</w:t>
            </w:r>
          </w:p>
        </w:tc>
        <w:tc>
          <w:tcPr>
            <w:tcW w:type="dxa" w:w="268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POST /m2m/delegate (attenuated, chains to root) -&gt; spend via the delegation_id anywhere a consent_id works</w:t>
            </w:r>
          </w:p>
        </w:tc>
      </w:tr>
      <w:tr>
        <w:tc>
          <w:tcPr>
            <w:tcW w:type="dxa" w:w="19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Agent &lt;-&gt; Agent</w:t>
            </w:r>
          </w:p>
        </w:tc>
        <w:tc>
          <w:tcPr>
            <w:tcW w:type="dxa" w:w="21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handshake (Nash region + escrow)</w:t>
            </w:r>
          </w:p>
        </w:tc>
        <w:tc>
          <w:tcPr>
            <w:tcW w:type="dxa" w:w="268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two machines with no shared jurisdiction or trust trade blind</w:t>
            </w:r>
          </w:p>
        </w:tc>
        <w:tc>
          <w:tcPr>
            <w:tcW w:type="dxa" w:w="268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POST /m2m/handshake (Nash region + mandate + funded escrow) -&gt; /escrow/{id}/deliver -&gt; /release</w:t>
            </w:r>
          </w:p>
        </w:tc>
      </w:tr>
      <w:tr>
        <w:tc>
          <w:tcPr>
            <w:tcW w:type="dxa" w:w="19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Agent -&gt; Resource</w:t>
            </w:r>
          </w:p>
        </w:tc>
        <w:tc>
          <w:tcPr>
            <w:tcW w:type="dxa" w:w="21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x402 (consent-capped, replay-safe)</w:t>
            </w:r>
          </w:p>
        </w:tc>
        <w:tc>
          <w:tcPr>
            <w:tcW w:type="dxa" w:w="268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pay-per-call APIs on an irrevocable rail; replay + overspend risk</w:t>
            </w:r>
          </w:p>
        </w:tc>
        <w:tc>
          <w:tcPr>
            <w:tcW w:type="dxa" w:w="268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GET /x402/resource/{name} (402) -&gt; retry with signed X-PAYMENT (consent-capped, replay-safe)</w:t>
            </w:r>
          </w:p>
        </w:tc>
      </w:tr>
    </w:tbl>
    <w:p>
      <w:pPr>
        <w:spacing w:after="200"/>
      </w:pPr>
      <w:r>
        <w:rPr>
          <w:i/>
          <w:iCs/>
          <w:color w:val="5A6480"/>
          <w:sz w:val="19"/>
          <w:szCs w:val="19"/>
        </w:rPr>
        <w:t xml:space="preserve">The interactive version lives on the homepage (/#spectrum) — every lane is clickable and runs live; agents fetch the same picture as structured data, ASCII, and Mermaid at GET /spectrum.</w:t>
      </w:r>
    </w:p>
    <w:p>
      <w:pPr>
        <w:pStyle w:val="Heading1"/>
      </w:pPr>
      <w:r>
        <w:t xml:space="preserve">5. Architecture</w:t>
      </w:r>
    </w:p>
    <w:p>
      <w:pPr>
        <w:spacing w:after="120"/>
      </w:pPr>
      <w:r>
        <w:rPr>
          <w:b/>
          <w:bCs/>
          <w:color w:val="101736"/>
          <w:sz w:val="21"/>
          <w:szCs w:val="21"/>
        </w:rPr>
        <w:t xml:space="preserve">One dual-use API: </w:t>
      </w:r>
      <w:r>
        <w:rPr>
          <w:color w:val="101736"/>
          <w:sz w:val="21"/>
          <w:szCs w:val="21"/>
        </w:rPr>
        <w:t xml:space="preserve">the same URL serves humans (an animated homepage with a live playground) and agents (a self-describing JSON index, OpenAPI, and a single SKILL.md contract) via content negotiation. Beneath it, four layers: (1) jurisdiction — the 22-regime registry with Nash-optimal selection; (2) trust — the consent/intent vault and delegation chains; (3) value — a conserved ledger with programmable escrow; (4) resolution — regime-gated recall and law-cited disputes. Below the layers: regulated custody partners hold funds, and the rails — Pix, SEPA, FedNow, UPI, FPS, NPP, M-Pesa, x402 stablecoin, and more. Every operation is deterministic and conservation-checked (balances + escrow holds are invariant), so the whole system is auditable by replay.</w:t>
      </w:r>
    </w:p>
    <w:p>
      <w:pPr>
        <w:pStyle w:val="Heading1"/>
        <w:pageBreakBefore/>
      </w:pPr>
      <w:r>
        <w:t xml:space="preserve">6. The global jurisdiction registry (22 regimes)</w:t>
      </w:r>
    </w:p>
    <w:p>
      <w:pPr>
        <w:spacing w:after="120"/>
      </w:pPr>
      <w:r>
        <w:rPr>
          <w:color w:val="101736"/>
          <w:sz w:val="21"/>
          <w:szCs w:val="21"/>
        </w:rPr>
        <w:t xml:space="preserve">Client and agent negotiate the governing regime before funds move — selected as the Nash bargaining optimum over both ranked preference lists (jointly fairest; no overlap → no transaction). Each regime encodes irrevocability, recall rules, recovery window, dispute taxonomy, and escrow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60"/>
        <w:gridCol w:w="1200"/>
        <w:gridCol w:w="1300"/>
        <w:gridCol w:w="1200"/>
      </w:tblGrid>
      <w:tr>
        <w:tc>
          <w:tcPr>
            <w:tcW w:type="dxa" w:w="150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Region</w:t>
            </w:r>
          </w:p>
        </w:tc>
        <w:tc>
          <w:tcPr>
            <w:tcW w:type="dxa" w:w="416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Rail / regime</w:t>
            </w:r>
          </w:p>
        </w:tc>
        <w:tc>
          <w:tcPr>
            <w:tcW w:type="dxa" w:w="120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Irrevocable</w:t>
            </w:r>
          </w:p>
        </w:tc>
        <w:tc>
          <w:tcPr>
            <w:tcW w:type="dxa" w:w="130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Recall</w:t>
            </w:r>
          </w:p>
        </w:tc>
        <w:tc>
          <w:tcPr>
            <w:tcW w:type="dxa" w:w="120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Window</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global</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Ungoverned (permissive default)</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eu_sepa</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EU - SEPA Instant (SCT Inst recall)</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10</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uk_fps</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UK - Faster Payments (APP reimbursement)</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5</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nordic</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Nordics - Klarna / BNPL / Swish</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no</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ch_twint</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Switzerland - TWINT</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5</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br_pix</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Brazil - Pix (MED 2.0, 11-day recovery)</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11</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mx_spei</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Mexico - SPEI</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forbidden</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us_fednow</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US - FedNow (no federal recall standard)</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forbidden</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us_rtp</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US - RTP (TCH, request-for-return)</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forbidden</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ca_interac</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Canada - Interac / Real-Time Rail</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3</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in_upi</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India - UPI (NPCI dispute flows)</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7</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sg_fast</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Singapore - FAST / PayNow</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5</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au_npp</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Australia - NPP / Osko</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5</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jp_zengin</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Japan - Zengin</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4</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hk_fps</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Hong Kong - FPS</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5</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ae_aani</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UAE - Aani</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5</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sa_sarie</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Saudi Arabia - sarie</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5</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za_payshap</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South Africa - PayShap</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forbidden</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ng_nip</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Nigeria - NIBSS Instant Payments</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3</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ke_mpesa</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Kenya - M-Pesa / PesaLink</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allowed</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2</w:t>
            </w:r>
          </w:p>
        </w:tc>
      </w:tr>
      <w:tr>
        <w:tc>
          <w:tcPr>
            <w:tcW w:type="dxa" w:w="15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cn_ibps</w:t>
            </w:r>
          </w:p>
        </w:tc>
        <w:tc>
          <w:tcPr>
            <w:tcW w:type="dxa" w:w="416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China - IBPS / UnionPay</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forbidden</w:t>
            </w:r>
          </w:p>
        </w:tc>
        <w:tc>
          <w:tcPr>
            <w:tcW w:type="dxa" w:w="120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w:t>
            </w:r>
          </w:p>
        </w:tc>
      </w:tr>
      <w:tr>
        <w:tc>
          <w:tcPr>
            <w:tcW w:type="dxa" w:w="15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stablecoin_x402</w:t>
            </w:r>
          </w:p>
        </w:tc>
        <w:tc>
          <w:tcPr>
            <w:tcW w:type="dxa" w:w="416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Stablecoin - Coinbase x402 (no chargeback)</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yes</w:t>
            </w:r>
          </w:p>
        </w:tc>
        <w:tc>
          <w:tcPr>
            <w:tcW w:type="dxa" w:w="13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forbidden</w:t>
            </w:r>
          </w:p>
        </w:tc>
        <w:tc>
          <w:tcPr>
            <w:tcW w:type="dxa" w:w="120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w:t>
            </w:r>
          </w:p>
        </w:tc>
      </w:tr>
    </w:tbl>
    <w:p>
      <w:pPr>
        <w:pStyle w:val="Heading1"/>
        <w:pageBreakBefore/>
      </w:pPr>
      <w:r>
        <w:t xml:space="preserve">7. Legal dispute taxonomy — civil &amp; commercial law</w:t>
      </w:r>
    </w:p>
    <w:p>
      <w:pPr>
        <w:spacing w:after="120"/>
      </w:pPr>
      <w:r>
        <w:rPr>
          <w:color w:val="101736"/>
          <w:sz w:val="21"/>
          <w:szCs w:val="21"/>
        </w:rPr>
        <w:t xml:space="preserve">Every reason code maps to a substantive category with doctrinal bases in both great legal traditions. Every jurisdiction carries its operative instruments (payments statute, scheme rulebook, consumer/civil law) with citations and links to the official publication source (eur-lex, legislation.gov.uk, riksdagen.se, BCB/planalto, eCFR, IndiaCode/NPCI, fedlex, MAS, ASIC, CBUAE, SAMA, and more) — served live at GET /taxonomy and GET /regions/{region}/legal.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2930"/>
        <w:gridCol w:w="2930"/>
      </w:tblGrid>
      <w:tr>
        <w:tc>
          <w:tcPr>
            <w:tcW w:type="dxa" w:w="175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Category</w:t>
            </w:r>
          </w:p>
        </w:tc>
        <w:tc>
          <w:tcPr>
            <w:tcW w:type="dxa" w:w="175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Codes</w:t>
            </w:r>
          </w:p>
        </w:tc>
        <w:tc>
          <w:tcPr>
            <w:tcW w:type="dxa" w:w="293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Civil-law basis</w:t>
            </w:r>
          </w:p>
        </w:tc>
        <w:tc>
          <w:tcPr>
            <w:tcW w:type="dxa" w:w="2930"/>
            <w:tcBorders>
              <w:top w:val="single" w:color="C9D1E8" w:sz="1"/>
              <w:left w:val="single" w:color="C9D1E8" w:sz="1"/>
              <w:bottom w:val="single" w:color="C9D1E8" w:sz="1"/>
              <w:right w:val="single" w:color="C9D1E8" w:sz="1"/>
            </w:tcBorders>
            <w:shd w:fill="101736" w:val="clear"/>
            <w:tcMar>
              <w:top w:type="dxa" w:w="60"/>
              <w:left w:type="dxa" w:w="100"/>
              <w:bottom w:type="dxa" w:w="60"/>
              <w:right w:type="dxa" w:w="100"/>
            </w:tcMar>
          </w:tcPr>
          <w:p>
            <w:r>
              <w:rPr>
                <w:b/>
                <w:bCs/>
                <w:color w:val="FFFFFF"/>
                <w:sz w:val="18"/>
                <w:szCs w:val="18"/>
              </w:rPr>
              <w:t xml:space="preserve">Common-law basis</w:t>
            </w:r>
          </w:p>
        </w:tc>
      </w:tr>
      <w:tr>
        <w:tc>
          <w:tcPr>
            <w:tcW w:type="dxa" w:w="175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Non-performance (non-delivery)</w:t>
            </w:r>
          </w:p>
        </w:tc>
        <w:tc>
          <w:tcPr>
            <w:tcW w:type="dxa" w:w="175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goods_not_received</w:t>
            </w:r>
          </w:p>
        </w:tc>
        <w:tc>
          <w:tcPr>
            <w:tcW w:type="dxa" w:w="293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Breach of obligation to perform: BGB §§275, 323 (DE); Code civil arts. 1217, 1610 (FR); CISG arts. 30, 45, 49.</w:t>
            </w:r>
          </w:p>
        </w:tc>
        <w:tc>
          <w:tcPr>
            <w:tcW w:type="dxa" w:w="293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Breach of contract; total failure of consideration; UCC §2-711 buyer's remedies (US).</w:t>
            </w:r>
          </w:p>
        </w:tc>
      </w:tr>
      <w:tr>
        <w:tc>
          <w:tcPr>
            <w:tcW w:type="dxa" w:w="175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Non-conformity (defective performance)</w:t>
            </w:r>
          </w:p>
        </w:tc>
        <w:tc>
          <w:tcPr>
            <w:tcW w:type="dxa" w:w="175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not_as_described</w:t>
            </w:r>
          </w:p>
        </w:tc>
        <w:tc>
          <w:tcPr>
            <w:tcW w:type="dxa" w:w="293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Conformity of goods: Directive (EU) 2019/771; CISG art. 35; vices cachés, Code civil art. 1641 (FR).</w:t>
            </w:r>
          </w:p>
        </w:tc>
        <w:tc>
          <w:tcPr>
            <w:tcW w:type="dxa" w:w="293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Implied terms: Consumer Rights Act 2015 ss. 9–11 (UK); UCC §§2-314/2-315 warranties (US).</w:t>
            </w:r>
          </w:p>
        </w:tc>
      </w:tr>
      <w:tr>
        <w:tc>
          <w:tcPr>
            <w:tcW w:type="dxa" w:w="175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Fraud / unauthorized transaction</w:t>
            </w:r>
          </w:p>
        </w:tc>
        <w:tc>
          <w:tcPr>
            <w:tcW w:type="dxa" w:w="175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fraud</w:t>
            </w:r>
          </w:p>
        </w:tc>
        <w:tc>
          <w:tcPr>
            <w:tcW w:type="dxa" w:w="293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Dol / dolus vitiating consent (Code civil art. 1137); PSD2 arts. 64, 73–74 unauthorized-transaction liability.</w:t>
            </w:r>
          </w:p>
        </w:tc>
        <w:tc>
          <w:tcPr>
            <w:tcW w:type="dxa" w:w="293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Tort of deceit / fraudulent misrepresentation; EFTA + Regulation E, 12 CFR 1005 (US consumer EFT).</w:t>
            </w:r>
          </w:p>
        </w:tc>
      </w:tr>
      <w:tr>
        <w:tc>
          <w:tcPr>
            <w:tcW w:type="dxa" w:w="175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Agency / mandate (excess of authority)</w:t>
            </w:r>
          </w:p>
        </w:tc>
        <w:tc>
          <w:tcPr>
            <w:tcW w:type="dxa" w:w="175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agent_exceeded_mandate, verifiable_intent_mismatch</w:t>
            </w:r>
          </w:p>
        </w:tc>
        <w:tc>
          <w:tcPr>
            <w:tcW w:type="dxa" w:w="293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Mandate &amp; representation: BGB §§164–181 (falsus procurator §177); Code civil arts. 1153–1161, 1984 ff.; CO art. 394 ff. (CH).</w:t>
            </w:r>
          </w:p>
        </w:tc>
        <w:tc>
          <w:tcPr>
            <w:tcW w:type="dxa" w:w="293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Actual vs apparent authority, ratification: Restatement (Third) of Agency (US); Indian Contract Act 1872 ss. 182–238.</w:t>
            </w:r>
          </w:p>
        </w:tc>
      </w:tr>
      <w:tr>
        <w:tc>
          <w:tcPr>
            <w:tcW w:type="dxa" w:w="175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Mistaken payment (unjust enrichment)</w:t>
            </w:r>
          </w:p>
        </w:tc>
        <w:tc>
          <w:tcPr>
            <w:tcW w:type="dxa" w:w="175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mistaken_payment</w:t>
            </w:r>
          </w:p>
        </w:tc>
        <w:tc>
          <w:tcPr>
            <w:tcW w:type="dxa" w:w="293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Condictio indebiti: BGB §812; Code civil art. 1302 (paiement de l'indu); CO arts. 62 ff. (CH).</w:t>
            </w:r>
          </w:p>
        </w:tc>
        <w:tc>
          <w:tcPr>
            <w:tcW w:type="dxa" w:w="293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Restitution for mistaken payment (Barclays Bank v W.J. Simms [1980]); unjust enrichment.</w:t>
            </w:r>
          </w:p>
        </w:tc>
      </w:tr>
      <w:tr>
        <w:tc>
          <w:tcPr>
            <w:tcW w:type="dxa" w:w="175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Procedural recall (scheme remedy)</w:t>
            </w:r>
          </w:p>
        </w:tc>
        <w:tc>
          <w:tcPr>
            <w:tcW w:type="dxa" w:w="175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recall_request, sepa_recall, pix_med_return</w:t>
            </w:r>
          </w:p>
        </w:tc>
        <w:tc>
          <w:tcPr>
            <w:tcW w:type="dxa" w:w="293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Scheme rulebooks as incorporated contract terms: EPC SCT Inst Rulebook recall; Pix MED under Resolução BCB 1/2020.</w:t>
            </w:r>
          </w:p>
        </w:tc>
        <w:tc>
          <w:tcPr>
            <w:tcW w:type="dxa" w:w="2930"/>
            <w:tcBorders>
              <w:top w:val="single" w:color="C9D1E8" w:sz="1"/>
              <w:left w:val="single" w:color="C9D1E8" w:sz="1"/>
              <w:bottom w:val="single" w:color="C9D1E8" w:sz="1"/>
              <w:right w:val="single" w:color="C9D1E8" w:sz="1"/>
            </w:tcBorders>
            <w:shd w:fill="F2F5FC" w:val="clear"/>
            <w:tcMar>
              <w:top w:type="dxa" w:w="60"/>
              <w:left w:type="dxa" w:w="100"/>
              <w:bottom w:type="dxa" w:w="60"/>
              <w:right w:type="dxa" w:w="100"/>
            </w:tcMar>
          </w:tcPr>
          <w:p>
            <w:r>
              <w:rPr>
                <w:b w:val="false"/>
                <w:bCs w:val="false"/>
                <w:color w:val="101736"/>
                <w:sz w:val="18"/>
                <w:szCs w:val="18"/>
              </w:rPr>
              <w:t xml:space="preserve">Operating rules as binding multilateral contract: Reg J subpart C / UCC 4A-211 (US); Pay.UK / TCH rules.</w:t>
            </w:r>
          </w:p>
        </w:tc>
      </w:tr>
      <w:tr>
        <w:tc>
          <w:tcPr>
            <w:tcW w:type="dxa" w:w="175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Recurring / continuing obligations</w:t>
            </w:r>
          </w:p>
        </w:tc>
        <w:tc>
          <w:tcPr>
            <w:tcW w:type="dxa" w:w="175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recurring_disputed</w:t>
            </w:r>
          </w:p>
        </w:tc>
        <w:tc>
          <w:tcPr>
            <w:tcW w:type="dxa" w:w="293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Termination of continuing obligations: BGB §314; consumer withdrawal, Directive 2011/83/EU.</w:t>
            </w:r>
          </w:p>
        </w:tc>
        <w:tc>
          <w:tcPr>
            <w:tcW w:type="dxa" w:w="2930"/>
            <w:tcBorders>
              <w:top w:val="single" w:color="C9D1E8" w:sz="1"/>
              <w:left w:val="single" w:color="C9D1E8" w:sz="1"/>
              <w:bottom w:val="single" w:color="C9D1E8" w:sz="1"/>
              <w:right w:val="single" w:color="C9D1E8" w:sz="1"/>
            </w:tcBorders>
            <w:tcMar>
              <w:top w:type="dxa" w:w="60"/>
              <w:left w:type="dxa" w:w="100"/>
              <w:bottom w:type="dxa" w:w="60"/>
              <w:right w:type="dxa" w:w="100"/>
            </w:tcMar>
          </w:tcPr>
          <w:p>
            <w:r>
              <w:rPr>
                <w:b w:val="false"/>
                <w:bCs w:val="false"/>
                <w:color w:val="101736"/>
                <w:sz w:val="18"/>
                <w:szCs w:val="18"/>
              </w:rPr>
              <w:t xml:space="preserve">Cancellation &amp; preauthorized-transfer stops: Reg E, 12 CFR 1005.10 (US); contract termination at common law.</w:t>
            </w:r>
          </w:p>
        </w:tc>
      </w:tr>
    </w:tbl>
    <w:p>
      <w:pPr>
        <w:spacing w:after="200"/>
      </w:pPr>
      <w:r>
        <w:rPr>
          <w:i/>
          <w:iCs/>
          <w:color w:val="5A6480"/>
          <w:sz w:val="19"/>
          <w:szCs w:val="19"/>
        </w:rPr>
        <w:t xml:space="preserve">The agency/mandate category is the agentic-commerce core: “did the AI agent act within the principal's mandate?” is, in law, a question of representation (falsus procurator) or authority (actual vs apparent). Tvist's intent vault is the evidentiary record for exactly that question.</w:t>
      </w:r>
    </w:p>
    <w:p>
      <w:pPr>
        <w:pStyle w:val="Heading1"/>
        <w:pageBreakBefore/>
      </w:pPr>
      <w:r>
        <w:t xml:space="preserve">8. Proof, today (not slideware)</w:t>
      </w:r>
    </w:p>
    <w:p>
      <w:pPr>
        <w:pStyle w:val="ListParagraph"/>
        <w:numPr>
          <w:ilvl w:val="0"/>
          <w:numId w:val="2"/>
        </w:numPr>
        <w:spacing w:after="80"/>
      </w:pPr>
      <w:r>
        <w:rPr>
          <w:b/>
          <w:bCs/>
          <w:color w:val="101736"/>
          <w:sz w:val="21"/>
          <w:szCs w:val="21"/>
        </w:rPr>
        <w:t xml:space="preserve">Adversarially validated protocol. </w:t>
      </w:r>
      <w:r>
        <w:rPr>
          <w:color w:val="101736"/>
          <w:sz w:val="21"/>
          <w:szCs w:val="21"/>
        </w:rPr>
        <w:t xml:space="preserve">Tvist ships as a payments-layer plugin in MIT/NANDA's Nanda Town agent test rig: 4 swarm scenarios, 10 adversarial validators. Every attack — unilateral clawback, escrow drain, over-mandate spend, friendly-fraud refund, off-regime dispute — passes against the default ledger and is blocked by Tvist on identical scenarios. 539 tests green in the rig repo.</w:t>
      </w:r>
    </w:p>
    <w:p>
      <w:pPr>
        <w:pStyle w:val="ListParagraph"/>
        <w:numPr>
          <w:ilvl w:val="0"/>
          <w:numId w:val="2"/>
        </w:numPr>
        <w:spacing w:after="80"/>
      </w:pPr>
      <w:r>
        <w:rPr>
          <w:b/>
          <w:bCs/>
          <w:color w:val="101736"/>
          <w:sz w:val="21"/>
          <w:szCs w:val="21"/>
        </w:rPr>
        <w:t xml:space="preserve">Live, dual-use service. </w:t>
      </w:r>
      <w:r>
        <w:rPr>
          <w:color w:val="101736"/>
          <w:sz w:val="21"/>
          <w:szCs w:val="21"/>
        </w:rPr>
        <w:t xml:space="preserve">30 endpoints including the legal-taxonomy, x402, M2M, and spectrum surfaces; a single SKILL.md is enough for an agent to succeed unaided (verified end-to-end); 56 endpoint tests green — 595 green across the project. The animated site includes a live playground, a clickable trust-spectrum and pipeline, a jurisdiction law explorer, and self-verifying gate tables.</w:t>
      </w:r>
    </w:p>
    <w:p>
      <w:pPr>
        <w:pStyle w:val="ListParagraph"/>
        <w:numPr>
          <w:ilvl w:val="0"/>
          <w:numId w:val="2"/>
        </w:numPr>
        <w:spacing w:after="80"/>
      </w:pPr>
      <w:r>
        <w:rPr>
          <w:b/>
          <w:bCs/>
          <w:color w:val="101736"/>
          <w:sz w:val="21"/>
          <w:szCs w:val="21"/>
        </w:rPr>
        <w:t xml:space="preserve">Flagship use case. </w:t>
      </w:r>
      <w:r>
        <w:rPr>
          <w:color w:val="101736"/>
          <w:sz w:val="21"/>
          <w:szCs w:val="21"/>
        </w:rPr>
        <w:t xml:space="preserve">DigiDoot — “a personal AI agent for every Indian citizen” — maps 1:1 onto Tvist as its settlement endpoint: Aadhaar-style consent → intent vault, UPI → regime, service journeys → escrow/recall.</w:t>
      </w:r>
    </w:p>
    <w:p>
      <w:pPr>
        <w:pStyle w:val="ListParagraph"/>
        <w:numPr>
          <w:ilvl w:val="0"/>
          <w:numId w:val="2"/>
        </w:numPr>
        <w:spacing w:after="80"/>
      </w:pPr>
      <w:r>
        <w:rPr>
          <w:b/>
          <w:bCs/>
          <w:color w:val="101736"/>
          <w:sz w:val="21"/>
          <w:szCs w:val="21"/>
        </w:rPr>
        <w:t xml:space="preserve">Further use cases. </w:t>
      </w:r>
      <w:r>
        <w:rPr>
          <w:color w:val="101736"/>
          <w:sz w:val="21"/>
          <w:szCs w:val="21"/>
        </w:rPr>
        <w:t xml:space="preserve">Escrowed travel booking; cross-border agent trade (EU client × Brazilian seller → Pix as the Nash optimum); marketplace dispute rail; subscription guardrails; agent-swarm procurement; pay-per-call agent APIs over x402; protocol testbeds in Nanda Town.</w:t>
      </w:r>
    </w:p>
    <w:p>
      <w:pPr>
        <w:pStyle w:val="Heading1"/>
      </w:pPr>
      <w:r>
        <w:t xml:space="preserve">9. Positioning</w:t>
      </w:r>
    </w:p>
    <w:p>
      <w:pPr>
        <w:spacing w:after="240"/>
      </w:pPr>
      <w:r>
        <w:rPr>
          <w:color w:val="101736"/>
          <w:sz w:val="21"/>
          <w:szCs w:val="21"/>
        </w:rPr>
        <w:t xml:space="preserve">Complementary, not competitive: to networks (we operationalize their intent standards), to custody providers (we are their missing rules engine), and to agent platforms (we are the trust layer their checkout protocols defer). The wedge is the cross-section nobody owns — and it compounds: every new rail, protocol, and jurisdiction added to the registry makes the layer harder to replicate.</w:t>
      </w:r>
    </w:p>
    <w:p>
      <w:pPr>
        <w:pBdr>
          <w:top w:val="single" w:color="C9D1E8" w:sz="4" w:space="8"/>
        </w:pBdr>
        <w:spacing w:before="120"/>
      </w:pPr>
      <w:r>
        <w:rPr>
          <w:b/>
          <w:bCs/>
          <w:i/>
          <w:iCs/>
          <w:color w:val="5A6480"/>
          <w:sz w:val="18"/>
          <w:szCs w:val="18"/>
        </w:rPr>
        <w:t xml:space="preserve">Disclaimer: </w:t>
      </w:r>
      <w:r>
        <w:rPr>
          <w:i/>
          <w:iCs/>
          <w:color w:val="5A6480"/>
          <w:sz w:val="18"/>
          <w:szCs w:val="18"/>
        </w:rPr>
        <w:t xml:space="preserve">Technical demonstration only — a notional-credits sandbox, not a bank, payment institution, or law firm. Legal references cite real primary sources but are engineering-grade mappings, not legal advice; obtain qualified local counsel before relying on them in any jurisdiction.</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80"/>
        <w:sz w:val="16"/>
        <w:szCs w:val="16"/>
      </w:rPr>
      <w:t xml:space="preserve">tvist.ai — technical demonstration, not legal advice · page </w:t>
    </w:r>
    <w:r>
      <w:rPr>
        <w:color w:val="5A64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F766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0173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2026-07-05T22:57:40.368Z</dcterms:created>
  <dcterms:modified xsi:type="dcterms:W3CDTF">2026-07-05T22:57:40.369Z</dcterms:modified>
</cp:coreProperties>
</file>

<file path=docProps/custom.xml><?xml version="1.0" encoding="utf-8"?>
<Properties xmlns="http://schemas.openxmlformats.org/officeDocument/2006/custom-properties" xmlns:vt="http://schemas.openxmlformats.org/officeDocument/2006/docPropsVTypes"/>
</file>