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Mr.IF v4.3 — 10-Event Simulation</w:t>
      </w:r>
    </w:p>
    <w:p>
      <w:pPr>
        <w:jc w:val="center"/>
      </w:pPr>
      <w:r>
        <w:rPr>
          <w:color w:val="646464"/>
          <w:sz w:val="24"/>
        </w:rPr>
        <w:t>February 2026 · Inverted Pyramid + Logic Blocks + Net-net Format</w:t>
      </w:r>
    </w:p>
    <w:p/>
    <w:p>
      <w:r>
        <w:t>Simulated outputs demonstrating the v4.3 output structure. Each response includes:</w:t>
        <w:br/>
        <w:t>• Bottom Line → Top Picks → Logic Block Narratives</w:t>
        <w:br/>
        <w:t>• 📊 Reference Data separator</w:t>
        <w:br/>
        <w:t>• Names to watch table → Key Catalysts → Key Sensitivity → Kill Condition → Base Rate → Net-net</w:t>
        <w:br/>
        <w:t>• Pre-analysis verification (Step 0.5) shown where applicable.</w:t>
      </w:r>
    </w:p>
    <w:p>
      <w:r>
        <w:br w:type="page"/>
      </w:r>
    </w:p>
    <w:p>
      <w:pPr>
        <w:pStyle w:val="Heading1"/>
      </w:pPr>
      <w:r>
        <w:t>Event 1: 冬季奥运会开幕</w:t>
      </w:r>
    </w:p>
    <w:p>
      <w:r>
        <w:t>冬季奥运会开幕</w:t>
      </w:r>
    </w:p>
    <w:p>
      <w:r>
        <w:rPr>
          <w:b/>
          <w:color w:val="00468C"/>
          <w:sz w:val="22"/>
        </w:rPr>
        <w:t xml:space="preserve">User input: </w:t>
      </w:r>
      <w:r>
        <w:rPr>
          <w:sz w:val="22"/>
        </w:rPr>
        <w:t>2月6日，2026年米兰-科尔蒂纳冬奥会在意大利举行开幕仪式，吸引全球关注，成为本周最重大体育盛事。买什么美国标的好？</w:t>
      </w:r>
    </w:p>
    <w:p>
      <w:r>
        <w:rPr>
          <w:color w:val="505050"/>
          <w:sz w:val="20"/>
        </w:rPr>
      </w:r>
      <w:r>
        <w:rPr>
          <w:b/>
          <w:color w:val="505050"/>
          <w:sz w:val="20"/>
        </w:rPr>
        <w:t>[Step 0] Classification:</w:t>
      </w:r>
      <w:r>
        <w:rPr>
          <w:color w:val="505050"/>
          <w:sz w:val="20"/>
        </w:rPr>
        <w:t xml:space="preserve"> `daily` (novel — Olympics/major sports) · `needs_verification = TRUE` (specific date + named event)</w:t>
      </w:r>
    </w:p>
    <w:p>
      <w:r>
        <w:rPr>
          <w:color w:val="505050"/>
          <w:sz w:val="20"/>
        </w:rPr>
      </w:r>
      <w:r>
        <w:rPr>
          <w:b/>
          <w:color w:val="505050"/>
          <w:sz w:val="20"/>
        </w:rPr>
        <w:t>[Step 0.5] Verification:</w:t>
      </w:r>
      <w:r>
        <w:rPr>
          <w:color w:val="505050"/>
          <w:sz w:val="20"/>
        </w:rPr>
        <w:t xml:space="preserve"> CONFIRMED — 2026 Milan-Cortina Winter Olympics opening ceremony is Feb 6, 2026.</w:t>
      </w:r>
    </w:p>
    <w:p>
      <w:pPr>
        <w:pStyle w:val="Heading3"/>
      </w:pPr>
      <w:r>
        <w:t>Mr.IF Response:</w:t>
      </w:r>
    </w:p>
    <w:p>
      <w:r>
        <w:t>The honest take — Winter Olympics are almost entirely priced in as a scheduled event, and the direct revenue needle for any US-listed company is surprisingly small. That said, the highest-conviction play is CMCSA via Peacock subscriber growth, and the sleeper is programmatic ad-tech (TTD) if viewership beats expectations.</w:t>
      </w:r>
    </w:p>
    <w:p>
      <w:r/>
      <w:r>
        <w:rPr>
          <w:b/>
        </w:rPr>
        <w:t>Top picks:</w:t>
      </w:r>
      <w:r>
        <w:t xml:space="preserve"> CMCSA &gt; TTD &gt; DKNG</w:t>
      </w:r>
    </w:p>
    <w:p>
      <w:r>
        <w:rPr>
          <w:b/>
          <w:sz w:val="22"/>
        </w:rPr>
        <w:t>The broadcast monopoly — NBC exclusive rights → Peacock subscriber catalyst</w:t>
      </w:r>
    </w:p>
    <w:p>
      <w:r>
        <w:t>CMCSA owns exclusive US broadcast rights for the Olympics, paying roughly $1.2B per cycle. The real game isn't the ad revenue (which is largely pre-sold and priced in) — it's Peacock subscribers. NBC has been aggressively pushing Olympics content to Peacock as a subscriber acquisition tool. If they can show a meaningful subscriber bump in Q1 earnings (even 2-3M net adds attributed to Olympics), Peacock's narrative shifts from "money pit" to "growing platform." That's a PE re-rating story, not a revenue story. CMCSA is already cheap at ~10x forward earnings with a 3%+ yield floor, so the downside is limited even if the Olympics viewership disappoints.</w:t>
      </w:r>
    </w:p>
    <w:p>
      <w:r>
        <w:rPr>
          <w:b/>
          <w:sz w:val="22"/>
        </w:rPr>
        <w:t>The ad-tech play — programmatic spend surge during live events</w:t>
      </w:r>
    </w:p>
    <w:p>
      <w:r>
        <w:t>Here's the non-obvious angle. Winter Olympics viewership is lower than Summer (historically ~30-40% fewer US viewers), but programmatic advertising spend around live sporting events has been growing at 20%+ annually. TTD and GOOGL's DV360 handle the bulk of this. If total digital ad impressions around the Olympics beat expectations, TTD benefits disproportionately because live-event programmatic is their fastest-growing vertical. The risk: this is a 2-week event, so the revenue contribution to TTD's quarterly numbers is small (~1-2%).</w:t>
      </w:r>
    </w:p>
    <w:p>
      <w:r>
        <w:rPr>
          <w:b/>
          <w:sz w:val="22"/>
        </w:rPr>
        <w:t>The sports betting angle — legal but limited for Winter Olympics</w:t>
      </w:r>
    </w:p>
    <w:p>
      <w:r>
        <w:t>DKNG and FLUT offer Olympics betting, but let's be honest — nobody bets on biathlon the way they bet on the Super Bowl. US sports betting handle for Winter Olympics is a fraction of NFL. I'd mention it as a narrative tailwind for the sector, not a fundamental catalyst.</w:t>
      </w:r>
    </w:p>
    <w:p>
      <w:pPr>
        <w:jc w:val="center"/>
      </w:pPr>
      <w:r>
        <w:rPr>
          <w:b/>
          <w:color w:val="326496"/>
          <w:sz w:val="24"/>
        </w:rPr>
        <w:t>━━━━━━━━━━ 📊 Reference Data ━━━━━━━━━━</w:t>
      </w:r>
    </w:p>
    <w:p>
      <w:r>
        <w:rPr>
          <w:b/>
          <w:sz w:val="22"/>
        </w:rPr>
        <w:t>Names to watch:</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t>Ticker</w:t>
            </w:r>
          </w:p>
        </w:tc>
        <w:tc>
          <w:tcPr>
            <w:tcW w:type="dxa" w:w="1234"/>
          </w:tcPr>
          <w:p>
            <w:r>
              <w:t>Why</w:t>
            </w:r>
          </w:p>
        </w:tc>
        <w:tc>
          <w:tcPr>
            <w:tcW w:type="dxa" w:w="1234"/>
          </w:tcPr>
          <w:p>
            <w:r>
              <w:t>Direction</w:t>
            </w:r>
          </w:p>
        </w:tc>
        <w:tc>
          <w:tcPr>
            <w:tcW w:type="dxa" w:w="1234"/>
          </w:tcPr>
          <w:p>
            <w:r>
              <w:t>Magnitude</w:t>
            </w:r>
          </w:p>
        </w:tc>
        <w:tc>
          <w:tcPr>
            <w:tcW w:type="dxa" w:w="1234"/>
          </w:tcPr>
          <w:p>
            <w:r>
              <w:t>Probability</w:t>
            </w:r>
          </w:p>
        </w:tc>
        <w:tc>
          <w:tcPr>
            <w:tcW w:type="dxa" w:w="1234"/>
          </w:tcPr>
          <w:p>
            <w:r>
              <w:t>Time</w:t>
            </w:r>
          </w:p>
        </w:tc>
        <w:tc>
          <w:tcPr>
            <w:tcW w:type="dxa" w:w="1234"/>
          </w:tcPr>
          <w:p>
            <w:r>
              <w:t>Key Variable</w:t>
            </w:r>
          </w:p>
        </w:tc>
      </w:tr>
      <w:tr>
        <w:tc>
          <w:tcPr>
            <w:tcW w:type="dxa" w:w="1234"/>
          </w:tcPr>
          <w:p>
            <w:r>
              <w:t>CMCSA</w:t>
            </w:r>
          </w:p>
        </w:tc>
        <w:tc>
          <w:tcPr>
            <w:tcW w:type="dxa" w:w="1234"/>
          </w:tcPr>
          <w:p>
            <w:r>
              <w:t>Peacock sub growth on Olympics content exclusive</w:t>
            </w:r>
          </w:p>
        </w:tc>
        <w:tc>
          <w:tcPr>
            <w:tcW w:type="dxa" w:w="1234"/>
          </w:tcPr>
          <w:p>
            <w:r>
              <w:t>Bullish</w:t>
            </w:r>
          </w:p>
        </w:tc>
        <w:tc>
          <w:tcPr>
            <w:tcW w:type="dxa" w:w="1234"/>
          </w:tcPr>
          <w:p>
            <w:r>
              <w:t>+3-6%</w:t>
            </w:r>
          </w:p>
        </w:tc>
        <w:tc>
          <w:tcPr>
            <w:tcW w:type="dxa" w:w="1234"/>
          </w:tcPr>
          <w:p>
            <w:r>
              <w:t>~55%</w:t>
            </w:r>
          </w:p>
        </w:tc>
        <w:tc>
          <w:tcPr>
            <w:tcW w:type="dxa" w:w="1234"/>
          </w:tcPr>
          <w:p>
            <w:r>
              <w:t>1-3 months</w:t>
            </w:r>
          </w:p>
        </w:tc>
        <w:tc>
          <w:tcPr>
            <w:tcW w:type="dxa" w:w="1234"/>
          </w:tcPr>
          <w:p>
            <w:r>
              <w:t>Q1 Peacock sub data</w:t>
            </w:r>
          </w:p>
        </w:tc>
      </w:tr>
      <w:tr>
        <w:tc>
          <w:tcPr>
            <w:tcW w:type="dxa" w:w="1234"/>
          </w:tcPr>
          <w:p>
            <w:r>
              <w:t>TTD</w:t>
            </w:r>
          </w:p>
        </w:tc>
        <w:tc>
          <w:tcPr>
            <w:tcW w:type="dxa" w:w="1234"/>
          </w:tcPr>
          <w:p>
            <w:r>
              <w:t>Programmatic ad surge on live event inventory</w:t>
            </w:r>
          </w:p>
        </w:tc>
        <w:tc>
          <w:tcPr>
            <w:tcW w:type="dxa" w:w="1234"/>
          </w:tcPr>
          <w:p>
            <w:r>
              <w:t>Bullish</w:t>
            </w:r>
          </w:p>
        </w:tc>
        <w:tc>
          <w:tcPr>
            <w:tcW w:type="dxa" w:w="1234"/>
          </w:tcPr>
          <w:p>
            <w:r>
              <w:t>+2-5%</w:t>
            </w:r>
          </w:p>
        </w:tc>
        <w:tc>
          <w:tcPr>
            <w:tcW w:type="dxa" w:w="1234"/>
          </w:tcPr>
          <w:p>
            <w:r>
              <w:t>~45%</w:t>
            </w:r>
          </w:p>
        </w:tc>
        <w:tc>
          <w:tcPr>
            <w:tcW w:type="dxa" w:w="1234"/>
          </w:tcPr>
          <w:p>
            <w:r>
              <w:t>2-4 weeks</w:t>
            </w:r>
          </w:p>
        </w:tc>
        <w:tc>
          <w:tcPr>
            <w:tcW w:type="dxa" w:w="1234"/>
          </w:tcPr>
          <w:p>
            <w:r>
              <w:t>Viewership vs expectations</w:t>
            </w:r>
          </w:p>
        </w:tc>
      </w:tr>
      <w:tr>
        <w:tc>
          <w:tcPr>
            <w:tcW w:type="dxa" w:w="1234"/>
          </w:tcPr>
          <w:p>
            <w:r>
              <w:t>DKNG</w:t>
            </w:r>
          </w:p>
        </w:tc>
        <w:tc>
          <w:tcPr>
            <w:tcW w:type="dxa" w:w="1234"/>
          </w:tcPr>
          <w:p>
            <w:r>
              <w:t>Olympics betting handle narrative</w:t>
            </w:r>
          </w:p>
        </w:tc>
        <w:tc>
          <w:tcPr>
            <w:tcW w:type="dxa" w:w="1234"/>
          </w:tcPr>
          <w:p>
            <w:r>
              <w:t>Bullish</w:t>
            </w:r>
          </w:p>
        </w:tc>
        <w:tc>
          <w:tcPr>
            <w:tcW w:type="dxa" w:w="1234"/>
          </w:tcPr>
          <w:p>
            <w:r>
              <w:t>+1-3%</w:t>
            </w:r>
          </w:p>
        </w:tc>
        <w:tc>
          <w:tcPr>
            <w:tcW w:type="dxa" w:w="1234"/>
          </w:tcPr>
          <w:p>
            <w:r>
              <w:t>~35%</w:t>
            </w:r>
          </w:p>
        </w:tc>
        <w:tc>
          <w:tcPr>
            <w:tcW w:type="dxa" w:w="1234"/>
          </w:tcPr>
          <w:p>
            <w:r>
              <w:t>2 weeks</w:t>
            </w:r>
          </w:p>
        </w:tc>
        <w:tc>
          <w:tcPr>
            <w:tcW w:type="dxa" w:w="1234"/>
          </w:tcPr>
          <w:p>
            <w:r>
              <w:t>Handle data</w:t>
            </w:r>
          </w:p>
        </w:tc>
      </w:tr>
      <w:tr>
        <w:tc>
          <w:tcPr>
            <w:tcW w:type="dxa" w:w="1234"/>
          </w:tcPr>
          <w:p>
            <w:r>
              <w:t>GOOGL</w:t>
            </w:r>
          </w:p>
        </w:tc>
        <w:tc>
          <w:tcPr>
            <w:tcW w:type="dxa" w:w="1234"/>
          </w:tcPr>
          <w:p>
            <w:r>
              <w:t>YouTube/DV360 ad impression volume</w:t>
            </w:r>
          </w:p>
        </w:tc>
        <w:tc>
          <w:tcPr>
            <w:tcW w:type="dxa" w:w="1234"/>
          </w:tcPr>
          <w:p>
            <w:r>
              <w:t>Bullish</w:t>
            </w:r>
          </w:p>
        </w:tc>
        <w:tc>
          <w:tcPr>
            <w:tcW w:type="dxa" w:w="1234"/>
          </w:tcPr>
          <w:p>
            <w:r>
              <w:t>+0.5-1%</w:t>
            </w:r>
          </w:p>
        </w:tc>
        <w:tc>
          <w:tcPr>
            <w:tcW w:type="dxa" w:w="1234"/>
          </w:tcPr>
          <w:p>
            <w:r>
              <w:t>~40%</w:t>
            </w:r>
          </w:p>
        </w:tc>
        <w:tc>
          <w:tcPr>
            <w:tcW w:type="dxa" w:w="1234"/>
          </w:tcPr>
          <w:p>
            <w:r>
              <w:t>1 month</w:t>
            </w:r>
          </w:p>
        </w:tc>
        <w:tc>
          <w:tcPr>
            <w:tcW w:type="dxa" w:w="1234"/>
          </w:tcPr>
          <w:p>
            <w:r>
              <w:t>Immaterial to GOOGL size</w:t>
            </w:r>
          </w:p>
        </w:tc>
      </w:tr>
    </w:tbl>
    <w:p>
      <w:r/>
      <w:r>
        <w:rPr>
          <w:b/>
        </w:rPr>
        <w:t>Key Catalysts:</w:t>
      </w:r>
      <w:r>
        <w:t xml:space="preserve"> NBC viewership ratings (daily during Feb 6-22), CMCSA Q1 earnings (late April — Peacock subscriber disclosure), Nielsen streaming rankings (weekly).</w:t>
      </w:r>
    </w:p>
    <w:p>
      <w:r/>
      <w:r>
        <w:rPr>
          <w:b/>
        </w:rPr>
        <w:t>Key Sensitivity:</w:t>
      </w:r>
      <w:r>
        <w:t xml:space="preserve"> This entire thesis hinges on whether Winter Olympics US viewership beats expectations. If viewership underperforms (as it did for Beijing 2022 due to time zone + political boycott), even the Peacock thesis weakens.</w:t>
      </w:r>
    </w:p>
    <w:p>
      <w:r/>
      <w:r>
        <w:rPr>
          <w:b/>
        </w:rPr>
        <w:t>Kill Condition:</w:t>
      </w:r>
      <w:r>
        <w:t xml:space="preserve"> If Week 1 primetime viewership drops below 15M average (vs. ~16M for Pyeongchang 2018 baseline), reduce CMCSA Olympics conviction. If Peacock doesn't disclose Olympics-attributed subscriber gains in Q1 earnings, the catalyst evaporates.</w:t>
      </w:r>
    </w:p>
    <w:p>
      <w:r/>
      <w:r>
        <w:rPr>
          <w:b/>
        </w:rPr>
        <w:t>Base Rate:</w:t>
      </w:r>
      <w:r>
        <w:t xml:space="preserve"> Winter Olympics historically have modest US stock impact. NBC ad revenue ~$0.9B on $120B CMCSA total revenue = ~0.75%. Real alpha has been in streaming subscriber surprises — Peacock gained ~4M subs around Tokyo 2021 (Summer).</w:t>
      </w:r>
    </w:p>
    <w:p>
      <w:r/>
      <w:r>
        <w:rPr>
          <w:b/>
        </w:rPr>
        <w:t>Net-net:</w:t>
      </w:r>
      <w:r>
        <w:t xml:space="preserve"> Scheduled events are the definition of "priced in" — the only trade is deviation from expectations. Highest conviction is CMCSA if Peacock sub data surprises upward in Q1 earnings; walk away if Week 1 ratings disappoint below 15M primetime average.</w:t>
      </w:r>
    </w:p>
    <w:p>
      <w:r>
        <w:t>This is a causal reasoning exercise — not investment advice. Always do your own due diligence.</w:t>
      </w:r>
    </w:p>
    <w:p>
      <w:r>
        <w:br w:type="page"/>
      </w:r>
    </w:p>
    <w:p>
      <w:pPr>
        <w:pStyle w:val="Heading1"/>
      </w:pPr>
      <w:r>
        <w:t>Event 2: 日本众议院选举结果揭晓</w:t>
      </w:r>
    </w:p>
    <w:p>
      <w:r>
        <w:t>日本众议院选举结果揭晓</w:t>
      </w:r>
    </w:p>
    <w:p>
      <w:r>
        <w:rPr>
          <w:b/>
          <w:color w:val="00468C"/>
          <w:sz w:val="22"/>
        </w:rPr>
        <w:t xml:space="preserve">User input: </w:t>
      </w:r>
      <w:r>
        <w:rPr>
          <w:sz w:val="22"/>
        </w:rPr>
        <w:t>2月8日，日本第51届众议院选举结果出炉，高市早苗领导的自民党获得压倒性胜利，拿下超过三分之二席位，巩固其执政地位并获政策授权。买什么美国标的好？</w:t>
      </w:r>
    </w:p>
    <w:p>
      <w:r>
        <w:rPr>
          <w:color w:val="505050"/>
          <w:sz w:val="20"/>
        </w:rPr>
      </w:r>
      <w:r>
        <w:rPr>
          <w:b/>
          <w:color w:val="505050"/>
          <w:sz w:val="20"/>
        </w:rPr>
        <w:t>[Step 0] Classification:</w:t>
      </w:r>
      <w:r>
        <w:rPr>
          <w:color w:val="505050"/>
          <w:sz w:val="20"/>
        </w:rPr>
        <w:t xml:space="preserve"> `geopolitical` (foreign election → policy + FX impact) · `needs_verification = TRUE` (specific date + named entity + action)</w:t>
      </w:r>
    </w:p>
    <w:p>
      <w:r>
        <w:rPr>
          <w:color w:val="505050"/>
          <w:sz w:val="20"/>
        </w:rPr>
      </w:r>
      <w:r>
        <w:rPr>
          <w:b/>
          <w:color w:val="505050"/>
          <w:sz w:val="20"/>
        </w:rPr>
        <w:t>[Step 0.5] Verification:</w:t>
      </w:r>
      <w:r>
        <w:rPr>
          <w:color w:val="505050"/>
          <w:sz w:val="20"/>
        </w:rPr>
        <w:t xml:space="preserve"> CONFIRMED — Japan 51st House election results announced Feb 8, LDP super-majority confirmed.</w:t>
      </w:r>
    </w:p>
    <w:p>
      <w:pPr>
        <w:pStyle w:val="Heading3"/>
      </w:pPr>
      <w:r>
        <w:t>Mr.IF Response:</w:t>
      </w:r>
    </w:p>
    <w:p>
      <w:r>
        <w:t>This is structurally significant — a Japanese super-majority under Takami means defense budget acceleration, continued semiconductor subsidies, and likely yen weakness. The clearest US equity plays are defense procurement (LMT, GD) and semiconductor equipment (LRCX, AMAT), with DXJ as the ETF proxy for yen depreciation beneficiaries.</w:t>
      </w:r>
    </w:p>
    <w:p>
      <w:r/>
      <w:r>
        <w:rPr>
          <w:b/>
        </w:rPr>
        <w:t>Top picks:</w:t>
      </w:r>
      <w:r>
        <w:t xml:space="preserve"> LMT &gt; LRCX &gt; DXJ </w:t>
      </w:r>
      <w:r>
        <w:rPr>
          <w:b/>
        </w:rPr>
        <w:t>| Short focus:</w:t>
      </w:r>
      <w:r>
        <w:t xml:space="preserve"> EWJ (yen headwind for unhedged Japan equity)</w:t>
      </w:r>
    </w:p>
    <w:p>
      <w:r>
        <w:rPr>
          <w:b/>
          <w:sz w:val="22"/>
        </w:rPr>
        <w:t>The defense pipeline — super-majority → defense budget expansion → US contractor orders</w:t>
      </w:r>
    </w:p>
    <w:p>
      <w:r>
        <w:t>I call this the "Takami Mandate Trade." A two-thirds supermajority means Takami can push constitutional revision and defense budget increases without coalition compromise. Japan has been on a trajectory to double defense spending to 2% of GDP (~$80B annually) since the 2022 National Security Strategy. A super-majority removes the last political friction. The key insight: ~30% of Japan's major defense equipment is US-sourced (F-35s from LMT, Aegis systems from RTX, MV-22 Ospreys). A $40B increase in Japan's defense budget over 5 years means ~$12B incremental orders for US defense primes. That's material for LMT (1-2% revenue uplift) and meaningful for GD's marine systems (Japan's submarine fleet expansion).</w:t>
      </w:r>
    </w:p>
    <w:p>
      <w:r>
        <w:rPr>
          <w:b/>
          <w:sz w:val="22"/>
        </w:rPr>
        <w:t>The semiconductor equipment angle — Japan chip subsidies continue and accelerate</w:t>
      </w:r>
    </w:p>
    <w:p>
      <w:r>
        <w:t>Takami has been a vocal supporter of Japan's semiconductor resurgence (the Rapidus project, TSMC Kumamoto fab). A super-majority ensures the ¥4T ($27B) chip subsidy package stays on track. Who benefits in the US? LRCX, AMAT, and KLAC sell the equipment these fabs need. TSMC Kumamoto alone is a $20B+ capex project, with US equipment vendors capturing 40-50% of the tool spend. The non-obvious pick here is ENTG (Entegris) — advanced materials and filters for leading-edge fabs, smaller company, higher leverage to Japan fab buildout.</w:t>
      </w:r>
    </w:p>
    <w:p>
      <w:r>
        <w:rPr>
          <w:b/>
          <w:sz w:val="22"/>
        </w:rPr>
        <w:t>The yen weakness channel — hawkish fiscal + dovish BOJ = yen depreciation → DXJ</w:t>
      </w:r>
    </w:p>
    <w:p>
      <w:r>
        <w:t>Here's the macro angle. A super-majority enables aggressive fiscal spending (defense + infrastructure + chips), which puts upward pressure on JGB yields but also signals the BOJ can stay dovish longer (government handles stimulus, BOJ stays accommodative). Net effect: yen likely stays weak. DXJ (WisdomTree Japan Hedged Equity ETF) benefits from yen weakness + strong Japanese corporate earnings. Conversely, EWJ (unhedged Japan ETF) gets hurt by FX translation.</w:t>
      </w:r>
    </w:p>
    <w:p>
      <w:pPr>
        <w:jc w:val="center"/>
      </w:pPr>
      <w:r>
        <w:rPr>
          <w:b/>
          <w:color w:val="326496"/>
          <w:sz w:val="24"/>
        </w:rPr>
        <w:t>━━━━━━━━━━ 📊 Reference Data ━━━━━━━━━━</w:t>
      </w:r>
    </w:p>
    <w:p>
      <w:r>
        <w:rPr>
          <w:b/>
          <w:sz w:val="22"/>
        </w:rPr>
        <w:t>Names to watch:</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t>Ticker</w:t>
            </w:r>
          </w:p>
        </w:tc>
        <w:tc>
          <w:tcPr>
            <w:tcW w:type="dxa" w:w="1234"/>
          </w:tcPr>
          <w:p>
            <w:r>
              <w:t>Why</w:t>
            </w:r>
          </w:p>
        </w:tc>
        <w:tc>
          <w:tcPr>
            <w:tcW w:type="dxa" w:w="1234"/>
          </w:tcPr>
          <w:p>
            <w:r>
              <w:t>Direction</w:t>
            </w:r>
          </w:p>
        </w:tc>
        <w:tc>
          <w:tcPr>
            <w:tcW w:type="dxa" w:w="1234"/>
          </w:tcPr>
          <w:p>
            <w:r>
              <w:t>Magnitude</w:t>
            </w:r>
          </w:p>
        </w:tc>
        <w:tc>
          <w:tcPr>
            <w:tcW w:type="dxa" w:w="1234"/>
          </w:tcPr>
          <w:p>
            <w:r>
              <w:t>Probability</w:t>
            </w:r>
          </w:p>
        </w:tc>
        <w:tc>
          <w:tcPr>
            <w:tcW w:type="dxa" w:w="1234"/>
          </w:tcPr>
          <w:p>
            <w:r>
              <w:t>Time</w:t>
            </w:r>
          </w:p>
        </w:tc>
        <w:tc>
          <w:tcPr>
            <w:tcW w:type="dxa" w:w="1234"/>
          </w:tcPr>
          <w:p>
            <w:r>
              <w:t>Key Variable</w:t>
            </w:r>
          </w:p>
        </w:tc>
      </w:tr>
      <w:tr>
        <w:tc>
          <w:tcPr>
            <w:tcW w:type="dxa" w:w="1234"/>
          </w:tcPr>
          <w:p>
            <w:r>
              <w:t>LMT</w:t>
            </w:r>
          </w:p>
        </w:tc>
        <w:tc>
          <w:tcPr>
            <w:tcW w:type="dxa" w:w="1234"/>
          </w:tcPr>
          <w:p>
            <w:r>
              <w:t>Japan defense procurement — F-35, missile defense</w:t>
            </w:r>
          </w:p>
        </w:tc>
        <w:tc>
          <w:tcPr>
            <w:tcW w:type="dxa" w:w="1234"/>
          </w:tcPr>
          <w:p>
            <w:r>
              <w:t>Bullish</w:t>
            </w:r>
          </w:p>
        </w:tc>
        <w:tc>
          <w:tcPr>
            <w:tcW w:type="dxa" w:w="1234"/>
          </w:tcPr>
          <w:p>
            <w:r>
              <w:t>+4-8%</w:t>
            </w:r>
          </w:p>
        </w:tc>
        <w:tc>
          <w:tcPr>
            <w:tcW w:type="dxa" w:w="1234"/>
          </w:tcPr>
          <w:p>
            <w:r>
              <w:t>~65%</w:t>
            </w:r>
          </w:p>
        </w:tc>
        <w:tc>
          <w:tcPr>
            <w:tcW w:type="dxa" w:w="1234"/>
          </w:tcPr>
          <w:p>
            <w:r>
              <w:t>3-12 months</w:t>
            </w:r>
          </w:p>
        </w:tc>
        <w:tc>
          <w:tcPr>
            <w:tcW w:type="dxa" w:w="1234"/>
          </w:tcPr>
          <w:p>
            <w:r>
              <w:t>Defense budget bill passage</w:t>
            </w:r>
          </w:p>
        </w:tc>
      </w:tr>
      <w:tr>
        <w:tc>
          <w:tcPr>
            <w:tcW w:type="dxa" w:w="1234"/>
          </w:tcPr>
          <w:p>
            <w:r>
              <w:t>LRCX</w:t>
            </w:r>
          </w:p>
        </w:tc>
        <w:tc>
          <w:tcPr>
            <w:tcW w:type="dxa" w:w="1234"/>
          </w:tcPr>
          <w:p>
            <w:r>
              <w:t>Japan fab buildout — equipment vendor</w:t>
            </w:r>
          </w:p>
        </w:tc>
        <w:tc>
          <w:tcPr>
            <w:tcW w:type="dxa" w:w="1234"/>
          </w:tcPr>
          <w:p>
            <w:r>
              <w:t>Bullish</w:t>
            </w:r>
          </w:p>
        </w:tc>
        <w:tc>
          <w:tcPr>
            <w:tcW w:type="dxa" w:w="1234"/>
          </w:tcPr>
          <w:p>
            <w:r>
              <w:t>+5-10%</w:t>
            </w:r>
          </w:p>
        </w:tc>
        <w:tc>
          <w:tcPr>
            <w:tcW w:type="dxa" w:w="1234"/>
          </w:tcPr>
          <w:p>
            <w:r>
              <w:t>~60%</w:t>
            </w:r>
          </w:p>
        </w:tc>
        <w:tc>
          <w:tcPr>
            <w:tcW w:type="dxa" w:w="1234"/>
          </w:tcPr>
          <w:p>
            <w:r>
              <w:t>6-18 months</w:t>
            </w:r>
          </w:p>
        </w:tc>
        <w:tc>
          <w:tcPr>
            <w:tcW w:type="dxa" w:w="1234"/>
          </w:tcPr>
          <w:p>
            <w:r>
              <w:t>TSMC Kumamoto + Rapidus timeline</w:t>
            </w:r>
          </w:p>
        </w:tc>
      </w:tr>
      <w:tr>
        <w:tc>
          <w:tcPr>
            <w:tcW w:type="dxa" w:w="1234"/>
          </w:tcPr>
          <w:p>
            <w:r>
              <w:t>DXJ</w:t>
            </w:r>
          </w:p>
        </w:tc>
        <w:tc>
          <w:tcPr>
            <w:tcW w:type="dxa" w:w="1234"/>
          </w:tcPr>
          <w:p>
            <w:r>
              <w:t>Yen-hedged Japan equity — yen weakness play</w:t>
            </w:r>
          </w:p>
        </w:tc>
        <w:tc>
          <w:tcPr>
            <w:tcW w:type="dxa" w:w="1234"/>
          </w:tcPr>
          <w:p>
            <w:r>
              <w:t>Bullish</w:t>
            </w:r>
          </w:p>
        </w:tc>
        <w:tc>
          <w:tcPr>
            <w:tcW w:type="dxa" w:w="1234"/>
          </w:tcPr>
          <w:p>
            <w:r>
              <w:t>+3-7%</w:t>
            </w:r>
          </w:p>
        </w:tc>
        <w:tc>
          <w:tcPr>
            <w:tcW w:type="dxa" w:w="1234"/>
          </w:tcPr>
          <w:p>
            <w:r>
              <w:t>~60%</w:t>
            </w:r>
          </w:p>
        </w:tc>
        <w:tc>
          <w:tcPr>
            <w:tcW w:type="dxa" w:w="1234"/>
          </w:tcPr>
          <w:p>
            <w:r>
              <w:t>1-6 months</w:t>
            </w:r>
          </w:p>
        </w:tc>
        <w:tc>
          <w:tcPr>
            <w:tcW w:type="dxa" w:w="1234"/>
          </w:tcPr>
          <w:p>
            <w:r>
              <w:t>USD/JPY trajectory</w:t>
            </w:r>
          </w:p>
        </w:tc>
      </w:tr>
      <w:tr>
        <w:tc>
          <w:tcPr>
            <w:tcW w:type="dxa" w:w="1234"/>
          </w:tcPr>
          <w:p>
            <w:r>
              <w:t>GD</w:t>
            </w:r>
          </w:p>
        </w:tc>
        <w:tc>
          <w:tcPr>
            <w:tcW w:type="dxa" w:w="1234"/>
          </w:tcPr>
          <w:p>
            <w:r>
              <w:t>Japan submarine fleet expansion — marine systems</w:t>
            </w:r>
          </w:p>
        </w:tc>
        <w:tc>
          <w:tcPr>
            <w:tcW w:type="dxa" w:w="1234"/>
          </w:tcPr>
          <w:p>
            <w:r>
              <w:t>Bullish</w:t>
            </w:r>
          </w:p>
        </w:tc>
        <w:tc>
          <w:tcPr>
            <w:tcW w:type="dxa" w:w="1234"/>
          </w:tcPr>
          <w:p>
            <w:r>
              <w:t>+3-6%</w:t>
            </w:r>
          </w:p>
        </w:tc>
        <w:tc>
          <w:tcPr>
            <w:tcW w:type="dxa" w:w="1234"/>
          </w:tcPr>
          <w:p>
            <w:r>
              <w:t>~55%</w:t>
            </w:r>
          </w:p>
        </w:tc>
        <w:tc>
          <w:tcPr>
            <w:tcW w:type="dxa" w:w="1234"/>
          </w:tcPr>
          <w:p>
            <w:r>
              <w:t>6-18 months</w:t>
            </w:r>
          </w:p>
        </w:tc>
        <w:tc>
          <w:tcPr>
            <w:tcW w:type="dxa" w:w="1234"/>
          </w:tcPr>
          <w:p>
            <w:r>
              <w:t>Specific procurement announcements</w:t>
            </w:r>
          </w:p>
        </w:tc>
      </w:tr>
      <w:tr>
        <w:tc>
          <w:tcPr>
            <w:tcW w:type="dxa" w:w="1234"/>
          </w:tcPr>
          <w:p>
            <w:r>
              <w:t>ENTG</w:t>
            </w:r>
          </w:p>
        </w:tc>
        <w:tc>
          <w:tcPr>
            <w:tcW w:type="dxa" w:w="1234"/>
          </w:tcPr>
          <w:p>
            <w:r>
              <w:t>Advanced fab materials — non-obvious leverage</w:t>
            </w:r>
          </w:p>
        </w:tc>
        <w:tc>
          <w:tcPr>
            <w:tcW w:type="dxa" w:w="1234"/>
          </w:tcPr>
          <w:p>
            <w:r>
              <w:t>Bullish</w:t>
            </w:r>
          </w:p>
        </w:tc>
        <w:tc>
          <w:tcPr>
            <w:tcW w:type="dxa" w:w="1234"/>
          </w:tcPr>
          <w:p>
            <w:r>
              <w:t>+5-12%</w:t>
            </w:r>
          </w:p>
        </w:tc>
        <w:tc>
          <w:tcPr>
            <w:tcW w:type="dxa" w:w="1234"/>
          </w:tcPr>
          <w:p>
            <w:r>
              <w:t>~50%</w:t>
            </w:r>
          </w:p>
        </w:tc>
        <w:tc>
          <w:tcPr>
            <w:tcW w:type="dxa" w:w="1234"/>
          </w:tcPr>
          <w:p>
            <w:r>
              <w:t>6-18 months</w:t>
            </w:r>
          </w:p>
        </w:tc>
        <w:tc>
          <w:tcPr>
            <w:tcW w:type="dxa" w:w="1234"/>
          </w:tcPr>
          <w:p>
            <w:r>
              <w:t>Rapidus + TSMC tool orders</w:t>
            </w:r>
          </w:p>
        </w:tc>
      </w:tr>
      <w:tr>
        <w:tc>
          <w:tcPr>
            <w:tcW w:type="dxa" w:w="1234"/>
          </w:tcPr>
          <w:p>
            <w:r>
              <w:t>EWJ</w:t>
            </w:r>
          </w:p>
        </w:tc>
        <w:tc>
          <w:tcPr>
            <w:tcW w:type="dxa" w:w="1234"/>
          </w:tcPr>
          <w:p>
            <w:r>
              <w:t>Yen drag on unhedged Japan equity</w:t>
            </w:r>
          </w:p>
        </w:tc>
        <w:tc>
          <w:tcPr>
            <w:tcW w:type="dxa" w:w="1234"/>
          </w:tcPr>
          <w:p>
            <w:r>
              <w:t>Bearish</w:t>
            </w:r>
          </w:p>
        </w:tc>
        <w:tc>
          <w:tcPr>
            <w:tcW w:type="dxa" w:w="1234"/>
          </w:tcPr>
          <w:p>
            <w:r>
              <w:t>-2-5%</w:t>
            </w:r>
          </w:p>
        </w:tc>
        <w:tc>
          <w:tcPr>
            <w:tcW w:type="dxa" w:w="1234"/>
          </w:tcPr>
          <w:p>
            <w:r>
              <w:t>~55%</w:t>
            </w:r>
          </w:p>
        </w:tc>
        <w:tc>
          <w:tcPr>
            <w:tcW w:type="dxa" w:w="1234"/>
          </w:tcPr>
          <w:p>
            <w:r>
              <w:t>1-6 months</w:t>
            </w:r>
          </w:p>
        </w:tc>
        <w:tc>
          <w:tcPr>
            <w:tcW w:type="dxa" w:w="1234"/>
          </w:tcPr>
          <w:p>
            <w:r>
              <w:t>USD/JPY above 155</w:t>
            </w:r>
          </w:p>
        </w:tc>
      </w:tr>
    </w:tbl>
    <w:p>
      <w:r/>
      <w:r>
        <w:rPr>
          <w:b/>
        </w:rPr>
        <w:t>Key Catalysts:</w:t>
      </w:r>
      <w:r>
        <w:t xml:space="preserve"> Japan FY2026 defense budget vote (expected March-April), TSMC Kumamoto Phase 2 timeline update (Q2 2026), USD/JPY levels post-election (watch 155 and 160), next BOJ policy meeting (Mar 14).</w:t>
      </w:r>
    </w:p>
    <w:p>
      <w:r/>
      <w:r>
        <w:rPr>
          <w:b/>
        </w:rPr>
        <w:t>Key Sensitivity:</w:t>
      </w:r>
      <w:r>
        <w:t xml:space="preserve"> This entire analysis hinges on whether Takami's super-majority translates to actual defense budget increases and chip subsidy acceleration in the next 6 months. Political mandate ≠ guaranteed policy execution.</w:t>
      </w:r>
    </w:p>
    <w:p>
      <w:r/>
      <w:r>
        <w:rPr>
          <w:b/>
        </w:rPr>
        <w:t>Kill Condition:</w:t>
      </w:r>
      <w:r>
        <w:t xml:space="preserve"> If Japan's FY2026 defense budget comes in below ¥8T (signaling no acceleration from current trajectory), the LMT/GD thesis weakens materially. If USD/JPY reverses below 148 (BOJ hawkish surprise), the DXJ trade and yen-weakness thesis collapses.</w:t>
      </w:r>
    </w:p>
    <w:p>
      <w:r/>
      <w:r>
        <w:rPr>
          <w:b/>
        </w:rPr>
        <w:t>Base Rate:</w:t>
      </w:r>
      <w:r>
        <w:t xml:space="preserve"> Post-election defense spending increases historically take 6-18 months to flow through to US contractor orders. Japan's last major defense pivot (2022 NSS) saw LMT Japan-related revenues grow ~8% over 2 years.</w:t>
      </w:r>
    </w:p>
    <w:p>
      <w:r/>
      <w:r>
        <w:rPr>
          <w:b/>
        </w:rPr>
        <w:t>Net-net:</w:t>
      </w:r>
      <w:r>
        <w:t xml:space="preserve"> The "Takami Mandate Trade" — defense procurement (LMT) and chip equipment (LRCX) are the structural plays, with DXJ as the FX proxy. Non-consensus pick is ENTG for fab materials leverage. Walk away if the FY2026 defense budget disappoints below ¥8T or USD/JPY reverses below 148.</w:t>
      </w:r>
    </w:p>
    <w:p>
      <w:r>
        <w:t>This is a causal reasoning exercise — not investment advice. Always do your own due diligence.</w:t>
      </w:r>
    </w:p>
    <w:p>
      <w:r>
        <w:br w:type="page"/>
      </w:r>
    </w:p>
    <w:p>
      <w:pPr>
        <w:pStyle w:val="Heading1"/>
      </w:pPr>
      <w:r>
        <w:t>Event 3: 华盛顿邮报大规模裁员</w:t>
      </w:r>
    </w:p>
    <w:p>
      <w:r>
        <w:t>华盛顿邮报大规模裁员</w:t>
      </w:r>
    </w:p>
    <w:p>
      <w:r>
        <w:rPr>
          <w:b/>
          <w:color w:val="00468C"/>
          <w:sz w:val="22"/>
        </w:rPr>
        <w:t xml:space="preserve">User input: </w:t>
      </w:r>
      <w:r>
        <w:rPr>
          <w:sz w:val="22"/>
        </w:rPr>
        <w:t>2月4日，美国《华盛顿邮报》宣布裁员300名记者，引发媒体行业动荡，随后发行人辞职。买什么美国标的好？</w:t>
      </w:r>
    </w:p>
    <w:p>
      <w:r>
        <w:rPr>
          <w:color w:val="505050"/>
          <w:sz w:val="20"/>
        </w:rPr>
      </w:r>
      <w:r>
        <w:rPr>
          <w:b/>
          <w:color w:val="505050"/>
          <w:sz w:val="20"/>
        </w:rPr>
        <w:t>[Step 0] Classification:</w:t>
      </w:r>
      <w:r>
        <w:rPr>
          <w:color w:val="505050"/>
          <w:sz w:val="20"/>
        </w:rPr>
        <w:t xml:space="preserve"> `corporate_event` (specific company action — layoffs) · `needs_verification = TRUE` (specific date + numbers + named entity)</w:t>
      </w:r>
    </w:p>
    <w:p>
      <w:r>
        <w:rPr>
          <w:color w:val="505050"/>
          <w:sz w:val="20"/>
        </w:rPr>
      </w:r>
      <w:r>
        <w:rPr>
          <w:b/>
          <w:color w:val="505050"/>
          <w:sz w:val="20"/>
        </w:rPr>
        <w:t>[Step 0.5] Verification:</w:t>
      </w:r>
      <w:r>
        <w:rPr>
          <w:color w:val="505050"/>
          <w:sz w:val="20"/>
        </w:rPr>
        <w:t xml:space="preserve"> CONFIRMED — Washington Post announced layoff of ~300 journalists on Feb 4.</w:t>
      </w:r>
    </w:p>
    <w:p>
      <w:pPr>
        <w:pStyle w:val="Heading3"/>
      </w:pPr>
      <w:r>
        <w:t>Mr.IF Response:</w:t>
      </w:r>
    </w:p>
    <w:p>
      <w:r>
        <w:t>This isn't a one-off — it's another milestone in the structural death of traditional advertising-funded journalism. The real investment logic isn't sympathy for journalists; it's asking: who's eating the attention and ad dollars that legacy media is hemorrhaging? NYT is the obvious "last man standing" in quality journalism, but the deeper play is the AI content infrastructure reshaping how news is created and consumed.</w:t>
      </w:r>
    </w:p>
    <w:p>
      <w:r/>
      <w:r>
        <w:rPr>
          <w:b/>
        </w:rPr>
        <w:t>Top picks:</w:t>
      </w:r>
      <w:r>
        <w:t xml:space="preserve"> NYT &gt; GOOGL &gt; TTD </w:t>
      </w:r>
      <w:r>
        <w:rPr>
          <w:b/>
        </w:rPr>
        <w:t>| Short focus:</w:t>
      </w:r>
      <w:r>
        <w:t xml:space="preserve"> NWSA (structural decline accelerating)</w:t>
      </w:r>
    </w:p>
    <w:p>
      <w:r>
        <w:rPr>
          <w:b/>
          <w:sz w:val="22"/>
        </w:rPr>
        <w:t>The "last man standing" — traditional media consolidation → NYT subscription moat</w:t>
      </w:r>
    </w:p>
    <w:p>
      <w:r>
        <w:t>Every time a peer collapses, NYT's moat widens. The Washington Post has lost over half its digital traffic since 2020, and subscriber churn accelerated under Bezos's strategic confusion. Meanwhile, NYT just crossed 11M+ subscribers with pricing power (recent price increases with minimal churn). This layoff cycle reinforces the winner-take-most dynamic in quality digital journalism. NYT trades at ~25x forward earnings — not cheap, but justified if it's becoming the monopoly destination for premium news consumers. The non-obvious play: NYT's gaming and cooking verticals (Wordle, Wirecutter, NYT Cooking) now drive ~40% of subscriber engagement — making it a consumer subscription platform, not just a newspaper.</w:t>
      </w:r>
    </w:p>
    <w:p>
      <w:r>
        <w:rPr>
          <w:b/>
          <w:sz w:val="22"/>
        </w:rPr>
        <w:t>The AI disruption angle — search traffic collapse → AI-native content infrastructure</w:t>
      </w:r>
    </w:p>
    <w:p>
      <w:r>
        <w:t>The Washington Post's then-editor explicitly cited search traffic dropping 50% as a key factor. Why? AI-generated summaries (Google's AI Overviews, Perplexity, ChatGPT) are cannibalizing the clicks that funded digital journalism. The winners here are GOOGL (capturing the attention that used to go to publisher websites) and the AI infrastructure stack. But be nuanced: GOOGL faces regulatory risk on this exact issue (publishers suing over AI training data). The cleaner play might be TTD — as ad dollars shift from publisher direct-sold to programmatic on AI-native platforms, TTD captures the routing fee.</w:t>
      </w:r>
    </w:p>
    <w:p>
      <w:r>
        <w:rPr>
          <w:b/>
          <w:sz w:val="22"/>
        </w:rPr>
        <w:t>The short side — legacy media conglomerates in structural decline</w:t>
      </w:r>
    </w:p>
    <w:p>
      <w:r>
        <w:t>NWSA (News Corp — owns Wall Street Journal, NY Post, various newspapers) faces the same headwinds but with less digital transformation success than NYT. GCI (Gannett) is a zombie — 1,000+ local newspapers with collapsing ad revenue. These aren't event-driven shorts; they're secular decline positions that this Washington Post news merely accelerates.</w:t>
      </w:r>
    </w:p>
    <w:p>
      <w:pPr>
        <w:jc w:val="center"/>
      </w:pPr>
      <w:r>
        <w:rPr>
          <w:b/>
          <w:color w:val="326496"/>
          <w:sz w:val="24"/>
        </w:rPr>
        <w:t>━━━━━━━━━━ 📊 Reference Data ━━━━━━━━━━</w:t>
      </w:r>
    </w:p>
    <w:p>
      <w:r>
        <w:rPr>
          <w:b/>
          <w:sz w:val="22"/>
        </w:rPr>
        <w:t>Names to watch:</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t>Ticker</w:t>
            </w:r>
          </w:p>
        </w:tc>
        <w:tc>
          <w:tcPr>
            <w:tcW w:type="dxa" w:w="1234"/>
          </w:tcPr>
          <w:p>
            <w:r>
              <w:t>Why</w:t>
            </w:r>
          </w:p>
        </w:tc>
        <w:tc>
          <w:tcPr>
            <w:tcW w:type="dxa" w:w="1234"/>
          </w:tcPr>
          <w:p>
            <w:r>
              <w:t>Direction</w:t>
            </w:r>
          </w:p>
        </w:tc>
        <w:tc>
          <w:tcPr>
            <w:tcW w:type="dxa" w:w="1234"/>
          </w:tcPr>
          <w:p>
            <w:r>
              <w:t>Magnitude</w:t>
            </w:r>
          </w:p>
        </w:tc>
        <w:tc>
          <w:tcPr>
            <w:tcW w:type="dxa" w:w="1234"/>
          </w:tcPr>
          <w:p>
            <w:r>
              <w:t>Probability</w:t>
            </w:r>
          </w:p>
        </w:tc>
        <w:tc>
          <w:tcPr>
            <w:tcW w:type="dxa" w:w="1234"/>
          </w:tcPr>
          <w:p>
            <w:r>
              <w:t>Time</w:t>
            </w:r>
          </w:p>
        </w:tc>
        <w:tc>
          <w:tcPr>
            <w:tcW w:type="dxa" w:w="1234"/>
          </w:tcPr>
          <w:p>
            <w:r>
              <w:t>Key Variable</w:t>
            </w:r>
          </w:p>
        </w:tc>
      </w:tr>
      <w:tr>
        <w:tc>
          <w:tcPr>
            <w:tcW w:type="dxa" w:w="1234"/>
          </w:tcPr>
          <w:p>
            <w:r>
              <w:t>NYT</w:t>
            </w:r>
          </w:p>
        </w:tc>
        <w:tc>
          <w:tcPr>
            <w:tcW w:type="dxa" w:w="1234"/>
          </w:tcPr>
          <w:p>
            <w:r>
              <w:t>"Last man standing" — subscriber moat widens with each peer collapse</w:t>
            </w:r>
          </w:p>
        </w:tc>
        <w:tc>
          <w:tcPr>
            <w:tcW w:type="dxa" w:w="1234"/>
          </w:tcPr>
          <w:p>
            <w:r>
              <w:t>Bullish</w:t>
            </w:r>
          </w:p>
        </w:tc>
        <w:tc>
          <w:tcPr>
            <w:tcW w:type="dxa" w:w="1234"/>
          </w:tcPr>
          <w:p>
            <w:r>
              <w:t>+5-10%</w:t>
            </w:r>
          </w:p>
        </w:tc>
        <w:tc>
          <w:tcPr>
            <w:tcW w:type="dxa" w:w="1234"/>
          </w:tcPr>
          <w:p>
            <w:r>
              <w:t>~65%</w:t>
            </w:r>
          </w:p>
        </w:tc>
        <w:tc>
          <w:tcPr>
            <w:tcW w:type="dxa" w:w="1234"/>
          </w:tcPr>
          <w:p>
            <w:r>
              <w:t>3-12 months</w:t>
            </w:r>
          </w:p>
        </w:tc>
        <w:tc>
          <w:tcPr>
            <w:tcW w:type="dxa" w:w="1234"/>
          </w:tcPr>
          <w:p>
            <w:r>
              <w:t>Subscriber growth + pricing power</w:t>
            </w:r>
          </w:p>
        </w:tc>
      </w:tr>
      <w:tr>
        <w:tc>
          <w:tcPr>
            <w:tcW w:type="dxa" w:w="1234"/>
          </w:tcPr>
          <w:p>
            <w:r>
              <w:t>GOOGL</w:t>
            </w:r>
          </w:p>
        </w:tc>
        <w:tc>
          <w:tcPr>
            <w:tcW w:type="dxa" w:w="1234"/>
          </w:tcPr>
          <w:p>
            <w:r>
              <w:t>Capturing displaced attention via AI Overviews</w:t>
            </w:r>
          </w:p>
        </w:tc>
        <w:tc>
          <w:tcPr>
            <w:tcW w:type="dxa" w:w="1234"/>
          </w:tcPr>
          <w:p>
            <w:r>
              <w:t>Bullish</w:t>
            </w:r>
          </w:p>
        </w:tc>
        <w:tc>
          <w:tcPr>
            <w:tcW w:type="dxa" w:w="1234"/>
          </w:tcPr>
          <w:p>
            <w:r>
              <w:t>+1-3%</w:t>
            </w:r>
          </w:p>
        </w:tc>
        <w:tc>
          <w:tcPr>
            <w:tcW w:type="dxa" w:w="1234"/>
          </w:tcPr>
          <w:p>
            <w:r>
              <w:t>~50%</w:t>
            </w:r>
          </w:p>
        </w:tc>
        <w:tc>
          <w:tcPr>
            <w:tcW w:type="dxa" w:w="1234"/>
          </w:tcPr>
          <w:p>
            <w:r>
              <w:t>6-12 months</w:t>
            </w:r>
          </w:p>
        </w:tc>
        <w:tc>
          <w:tcPr>
            <w:tcW w:type="dxa" w:w="1234"/>
          </w:tcPr>
          <w:p>
            <w:r>
              <w:t>Regulatory risk on AI/news</w:t>
            </w:r>
          </w:p>
        </w:tc>
      </w:tr>
      <w:tr>
        <w:tc>
          <w:tcPr>
            <w:tcW w:type="dxa" w:w="1234"/>
          </w:tcPr>
          <w:p>
            <w:r>
              <w:t>TTD</w:t>
            </w:r>
          </w:p>
        </w:tc>
        <w:tc>
          <w:tcPr>
            <w:tcW w:type="dxa" w:w="1234"/>
          </w:tcPr>
          <w:p>
            <w:r>
              <w:t>Programmatic ad routing on AI-native platforms</w:t>
            </w:r>
          </w:p>
        </w:tc>
        <w:tc>
          <w:tcPr>
            <w:tcW w:type="dxa" w:w="1234"/>
          </w:tcPr>
          <w:p>
            <w:r>
              <w:t>Bullish</w:t>
            </w:r>
          </w:p>
        </w:tc>
        <w:tc>
          <w:tcPr>
            <w:tcW w:type="dxa" w:w="1234"/>
          </w:tcPr>
          <w:p>
            <w:r>
              <w:t>+3-7%</w:t>
            </w:r>
          </w:p>
        </w:tc>
        <w:tc>
          <w:tcPr>
            <w:tcW w:type="dxa" w:w="1234"/>
          </w:tcPr>
          <w:p>
            <w:r>
              <w:t>~50%</w:t>
            </w:r>
          </w:p>
        </w:tc>
        <w:tc>
          <w:tcPr>
            <w:tcW w:type="dxa" w:w="1234"/>
          </w:tcPr>
          <w:p>
            <w:r>
              <w:t>6-12 months</w:t>
            </w:r>
          </w:p>
        </w:tc>
        <w:tc>
          <w:tcPr>
            <w:tcW w:type="dxa" w:w="1234"/>
          </w:tcPr>
          <w:p>
            <w:r>
              <w:t>Digital ad shift speed</w:t>
            </w:r>
          </w:p>
        </w:tc>
      </w:tr>
      <w:tr>
        <w:tc>
          <w:tcPr>
            <w:tcW w:type="dxa" w:w="1234"/>
          </w:tcPr>
          <w:p>
            <w:r>
              <w:t>NWSA</w:t>
            </w:r>
          </w:p>
        </w:tc>
        <w:tc>
          <w:tcPr>
            <w:tcW w:type="dxa" w:w="1234"/>
          </w:tcPr>
          <w:p>
            <w:r>
              <w:t>Structural decline — same headwinds, weaker moat</w:t>
            </w:r>
          </w:p>
        </w:tc>
        <w:tc>
          <w:tcPr>
            <w:tcW w:type="dxa" w:w="1234"/>
          </w:tcPr>
          <w:p>
            <w:r>
              <w:t>Bearish</w:t>
            </w:r>
          </w:p>
        </w:tc>
        <w:tc>
          <w:tcPr>
            <w:tcW w:type="dxa" w:w="1234"/>
          </w:tcPr>
          <w:p>
            <w:r>
              <w:t>-5-15%</w:t>
            </w:r>
          </w:p>
        </w:tc>
        <w:tc>
          <w:tcPr>
            <w:tcW w:type="dxa" w:w="1234"/>
          </w:tcPr>
          <w:p>
            <w:r>
              <w:t>~60%</w:t>
            </w:r>
          </w:p>
        </w:tc>
        <w:tc>
          <w:tcPr>
            <w:tcW w:type="dxa" w:w="1234"/>
          </w:tcPr>
          <w:p>
            <w:r>
              <w:t>6-18 months</w:t>
            </w:r>
          </w:p>
        </w:tc>
        <w:tc>
          <w:tcPr>
            <w:tcW w:type="dxa" w:w="1234"/>
          </w:tcPr>
          <w:p>
            <w:r>
              <w:t>Digital subscription failure</w:t>
            </w:r>
          </w:p>
        </w:tc>
      </w:tr>
    </w:tbl>
    <w:p>
      <w:r/>
      <w:r>
        <w:rPr>
          <w:b/>
        </w:rPr>
        <w:t>Key Catalysts:</w:t>
      </w:r>
      <w:r>
        <w:t xml:space="preserve"> NYT Q4 2025 earnings (Feb — subscriber count update), Google AI Overviews usage data (ongoing), EU/US regulatory action on AI training data (H1 2026), Washington Post subscriber churn data (Q2 disclosure).</w:t>
      </w:r>
    </w:p>
    <w:p>
      <w:r/>
      <w:r>
        <w:rPr>
          <w:b/>
        </w:rPr>
        <w:t>Key Sensitivity:</w:t>
      </w:r>
      <w:r>
        <w:t xml:space="preserve"> This thesis hinges on whether the "winner-take-most" dynamic in digital journalism actually holds. If a new well-funded competitor emerges (e.g., Bezos pivots WaPo strategy successfully), NYT's moat weakens.</w:t>
      </w:r>
    </w:p>
    <w:p>
      <w:r/>
      <w:r>
        <w:rPr>
          <w:b/>
        </w:rPr>
        <w:t>Kill Condition:</w:t>
      </w:r>
      <w:r>
        <w:t xml:space="preserve"> If NYT's next quarterly subscriber growth decelerates below 3% YoY, the "last man standing" thesis faces headwind. If regulatory action forces Google to share significant revenue with publishers, the ad-shift thesis reverses.</w:t>
      </w:r>
    </w:p>
    <w:p>
      <w:r/>
      <w:r>
        <w:rPr>
          <w:b/>
        </w:rPr>
        <w:t>Base Rate:</w:t>
      </w:r>
      <w:r>
        <w:t xml:space="preserve"> Media layoff cycles have occurred 3-4 times in the past decade (2019, 2020, 2023, now 2026). In each case, NYT outperformed the media sector by 10-20% over the subsequent 12 months. The structural trend is consistent.</w:t>
      </w:r>
    </w:p>
    <w:p>
      <w:r/>
      <w:r>
        <w:rPr>
          <w:b/>
        </w:rPr>
        <w:t>Net-net:</w:t>
      </w:r>
      <w:r>
        <w:t xml:space="preserve"> This is a secular trend, not an event trade — the real question is who captures the attention legacy media is losing. Highest conviction is NYT (monopoly dynamics + 40% engagement from non-news verticals). Short NWSA as the structural loser. Walk away if NYT subscriber growth decelerates below 3% YoY.</w:t>
      </w:r>
    </w:p>
    <w:p>
      <w:r>
        <w:t>This is a causal reasoning exercise — not investment advice. Always do your own due diligence.</w:t>
      </w:r>
    </w:p>
    <w:p>
      <w:r>
        <w:br w:type="page"/>
      </w:r>
    </w:p>
    <w:p>
      <w:pPr>
        <w:pStyle w:val="Heading1"/>
      </w:pPr>
      <w:r>
        <w:t>Event 4: 巴基斯坦伊斯兰堡清真寺爆炸</w:t>
      </w:r>
    </w:p>
    <w:p>
      <w:r>
        <w:t>巴基斯坦伊斯兰堡清真寺爆炸</w:t>
      </w:r>
    </w:p>
    <w:p>
      <w:r>
        <w:rPr>
          <w:b/>
          <w:color w:val="00468C"/>
          <w:sz w:val="22"/>
        </w:rPr>
        <w:t xml:space="preserve">User input: </w:t>
      </w:r>
      <w:r>
        <w:rPr>
          <w:sz w:val="22"/>
        </w:rPr>
        <w:t>2月6日，伊斯兰堡一什叶派清真寺发生自杀式炸弹袭击，造成32人死亡、170人受伤，ISIS宣称负责。买什么美国标的好？</w:t>
      </w:r>
    </w:p>
    <w:p>
      <w:r>
        <w:rPr>
          <w:color w:val="505050"/>
          <w:sz w:val="20"/>
        </w:rPr>
      </w:r>
      <w:r>
        <w:rPr>
          <w:b/>
          <w:color w:val="505050"/>
          <w:sz w:val="20"/>
        </w:rPr>
        <w:t>[Step 0] Classification:</w:t>
      </w:r>
      <w:r>
        <w:rPr>
          <w:color w:val="505050"/>
          <w:sz w:val="20"/>
        </w:rPr>
        <w:t xml:space="preserve"> `geopolitical` (terrorism → safe haven + defense) · `needs_verification = TRUE` (specific date + numbers + named entities)</w:t>
      </w:r>
    </w:p>
    <w:p>
      <w:r>
        <w:rPr>
          <w:color w:val="505050"/>
          <w:sz w:val="20"/>
        </w:rPr>
      </w:r>
      <w:r>
        <w:rPr>
          <w:b/>
          <w:color w:val="505050"/>
          <w:sz w:val="20"/>
        </w:rPr>
        <w:t>[Step 0.5] Verification:</w:t>
      </w:r>
      <w:r>
        <w:rPr>
          <w:color w:val="505050"/>
          <w:sz w:val="20"/>
        </w:rPr>
        <w:t xml:space="preserve"> CONFIRMED — Islamabad mosque bombing on Feb 6, 32 dead, 170 injured, ISIS claimed responsibility.</w:t>
      </w:r>
    </w:p>
    <w:p>
      <w:pPr>
        <w:pStyle w:val="Heading3"/>
      </w:pPr>
      <w:r>
        <w:t>Mr.IF Response:</w:t>
      </w:r>
    </w:p>
    <w:p>
      <w:r>
        <w:t>Let me be direct — a single terrorism event in Pakistan has near-zero transmission mechanism to US equities. The VIX won't move, oil won't move (Pakistan isn't an energy chokepoint), and there's no supply chain disruption to map. However, if you view this as a data point in a broader resurgence of global terrorism (ISIS reclaiming operational capability), then counter-terrorism technology and intelligence/surveillance companies become a longer-term thematic play.</w:t>
      </w:r>
    </w:p>
    <w:p>
      <w:r/>
      <w:r>
        <w:rPr>
          <w:b/>
        </w:rPr>
        <w:t>Top picks:</w:t>
      </w:r>
      <w:r>
        <w:t xml:space="preserve"> PLTR &gt; LDOS &gt; AXON</w:t>
      </w:r>
    </w:p>
    <w:p>
      <w:r>
        <w:rPr>
          <w:b/>
          <w:sz w:val="22"/>
        </w:rPr>
        <w:t>The counter-terrorism signal — ISIS operational resurgence → defense/intelligence spending</w:t>
      </w:r>
    </w:p>
    <w:p>
      <w:r>
        <w:t>The investment thesis isn't about this single attack — it's about whether ISIS claiming responsibility signals a broader operational comeback. If ISIS attacks increase in frequency over the next 6 months (watch for follow-up attacks in South Asia, Africa, or Europe), Western defense budgets will reallocate toward counter-terrorism and intelligence from conventional warfare. PLTR is the highest-conviction name here — their Gotham platform is the backbone of Western signals intelligence, and every terrorism escalation cycle has historically correlated with accelerated government contract awards. LDOS (Leidos) runs critical intelligence infrastructure for the NSA, CIA, and DHS.</w:t>
      </w:r>
    </w:p>
    <w:p>
      <w:r>
        <w:rPr>
          <w:b/>
          <w:sz w:val="22"/>
        </w:rPr>
        <w:t>The surveillance/security tech angle — if global terror threat elevates</w:t>
      </w:r>
    </w:p>
    <w:p>
      <w:r>
        <w:t>AXON (body cameras, Taser, real-time surveillance) benefits from security spending at the municipal and national level. This is a slower-moving thesis that requires multiple attacks to create political pressure. The non-obvious play: CACI International (CACI) — smaller, pure-play intelligence contractor with heavy signals intelligence (SIGINT) exposure. If DHS raises the threat level, CACI accelerates.</w:t>
      </w:r>
    </w:p>
    <w:p>
      <w:pPr>
        <w:jc w:val="center"/>
      </w:pPr>
      <w:r>
        <w:rPr>
          <w:b/>
          <w:color w:val="326496"/>
          <w:sz w:val="24"/>
        </w:rPr>
        <w:t>━━━━━━━━━━ 📊 Reference Data ━━━━━━━━━━</w:t>
      </w:r>
    </w:p>
    <w:p>
      <w:r>
        <w:rPr>
          <w:b/>
          <w:sz w:val="22"/>
        </w:rPr>
        <w:t>Names to watch:</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t>Ticker</w:t>
            </w:r>
          </w:p>
        </w:tc>
        <w:tc>
          <w:tcPr>
            <w:tcW w:type="dxa" w:w="1234"/>
          </w:tcPr>
          <w:p>
            <w:r>
              <w:t>Why</w:t>
            </w:r>
          </w:p>
        </w:tc>
        <w:tc>
          <w:tcPr>
            <w:tcW w:type="dxa" w:w="1234"/>
          </w:tcPr>
          <w:p>
            <w:r>
              <w:t>Direction</w:t>
            </w:r>
          </w:p>
        </w:tc>
        <w:tc>
          <w:tcPr>
            <w:tcW w:type="dxa" w:w="1234"/>
          </w:tcPr>
          <w:p>
            <w:r>
              <w:t>Magnitude</w:t>
            </w:r>
          </w:p>
        </w:tc>
        <w:tc>
          <w:tcPr>
            <w:tcW w:type="dxa" w:w="1234"/>
          </w:tcPr>
          <w:p>
            <w:r>
              <w:t>Probability</w:t>
            </w:r>
          </w:p>
        </w:tc>
        <w:tc>
          <w:tcPr>
            <w:tcW w:type="dxa" w:w="1234"/>
          </w:tcPr>
          <w:p>
            <w:r>
              <w:t>Time</w:t>
            </w:r>
          </w:p>
        </w:tc>
        <w:tc>
          <w:tcPr>
            <w:tcW w:type="dxa" w:w="1234"/>
          </w:tcPr>
          <w:p>
            <w:r>
              <w:t>Key Variable</w:t>
            </w:r>
          </w:p>
        </w:tc>
      </w:tr>
      <w:tr>
        <w:tc>
          <w:tcPr>
            <w:tcW w:type="dxa" w:w="1234"/>
          </w:tcPr>
          <w:p>
            <w:r>
              <w:t>PLTR</w:t>
            </w:r>
          </w:p>
        </w:tc>
        <w:tc>
          <w:tcPr>
            <w:tcW w:type="dxa" w:w="1234"/>
          </w:tcPr>
          <w:p>
            <w:r>
              <w:t>Gotham — Western counter-terror intelligence platform</w:t>
            </w:r>
          </w:p>
        </w:tc>
        <w:tc>
          <w:tcPr>
            <w:tcW w:type="dxa" w:w="1234"/>
          </w:tcPr>
          <w:p>
            <w:r>
              <w:t>Bullish</w:t>
            </w:r>
          </w:p>
        </w:tc>
        <w:tc>
          <w:tcPr>
            <w:tcW w:type="dxa" w:w="1234"/>
          </w:tcPr>
          <w:p>
            <w:r>
              <w:t>+3-8%</w:t>
            </w:r>
          </w:p>
        </w:tc>
        <w:tc>
          <w:tcPr>
            <w:tcW w:type="dxa" w:w="1234"/>
          </w:tcPr>
          <w:p>
            <w:r>
              <w:t>~45%</w:t>
            </w:r>
          </w:p>
        </w:tc>
        <w:tc>
          <w:tcPr>
            <w:tcW w:type="dxa" w:w="1234"/>
          </w:tcPr>
          <w:p>
            <w:r>
              <w:t>3-12 months</w:t>
            </w:r>
          </w:p>
        </w:tc>
        <w:tc>
          <w:tcPr>
            <w:tcW w:type="dxa" w:w="1234"/>
          </w:tcPr>
          <w:p>
            <w:r>
              <w:t>Follow-up attacks / threat level</w:t>
            </w:r>
          </w:p>
        </w:tc>
      </w:tr>
      <w:tr>
        <w:tc>
          <w:tcPr>
            <w:tcW w:type="dxa" w:w="1234"/>
          </w:tcPr>
          <w:p>
            <w:r>
              <w:t>LDOS</w:t>
            </w:r>
          </w:p>
        </w:tc>
        <w:tc>
          <w:tcPr>
            <w:tcW w:type="dxa" w:w="1234"/>
          </w:tcPr>
          <w:p>
            <w:r>
              <w:t>NSA/CIA infrastructure — counter-terror budget reallocation</w:t>
            </w:r>
          </w:p>
        </w:tc>
        <w:tc>
          <w:tcPr>
            <w:tcW w:type="dxa" w:w="1234"/>
          </w:tcPr>
          <w:p>
            <w:r>
              <w:t>Bullish</w:t>
            </w:r>
          </w:p>
        </w:tc>
        <w:tc>
          <w:tcPr>
            <w:tcW w:type="dxa" w:w="1234"/>
          </w:tcPr>
          <w:p>
            <w:r>
              <w:t>+2-5%</w:t>
            </w:r>
          </w:p>
        </w:tc>
        <w:tc>
          <w:tcPr>
            <w:tcW w:type="dxa" w:w="1234"/>
          </w:tcPr>
          <w:p>
            <w:r>
              <w:t>~40%</w:t>
            </w:r>
          </w:p>
        </w:tc>
        <w:tc>
          <w:tcPr>
            <w:tcW w:type="dxa" w:w="1234"/>
          </w:tcPr>
          <w:p>
            <w:r>
              <w:t>6-12 months</w:t>
            </w:r>
          </w:p>
        </w:tc>
        <w:tc>
          <w:tcPr>
            <w:tcW w:type="dxa" w:w="1234"/>
          </w:tcPr>
          <w:p>
            <w:r>
              <w:t>FY27 defense budget allocation</w:t>
            </w:r>
          </w:p>
        </w:tc>
      </w:tr>
      <w:tr>
        <w:tc>
          <w:tcPr>
            <w:tcW w:type="dxa" w:w="1234"/>
          </w:tcPr>
          <w:p>
            <w:r>
              <w:t>AXON</w:t>
            </w:r>
          </w:p>
        </w:tc>
        <w:tc>
          <w:tcPr>
            <w:tcW w:type="dxa" w:w="1234"/>
          </w:tcPr>
          <w:p>
            <w:r>
              <w:t>Security/surveillance tech on elevated threat</w:t>
            </w:r>
          </w:p>
        </w:tc>
        <w:tc>
          <w:tcPr>
            <w:tcW w:type="dxa" w:w="1234"/>
          </w:tcPr>
          <w:p>
            <w:r>
              <w:t>Bullish</w:t>
            </w:r>
          </w:p>
        </w:tc>
        <w:tc>
          <w:tcPr>
            <w:tcW w:type="dxa" w:w="1234"/>
          </w:tcPr>
          <w:p>
            <w:r>
              <w:t>+2-5%</w:t>
            </w:r>
          </w:p>
        </w:tc>
        <w:tc>
          <w:tcPr>
            <w:tcW w:type="dxa" w:w="1234"/>
          </w:tcPr>
          <w:p>
            <w:r>
              <w:t>~35%</w:t>
            </w:r>
          </w:p>
        </w:tc>
        <w:tc>
          <w:tcPr>
            <w:tcW w:type="dxa" w:w="1234"/>
          </w:tcPr>
          <w:p>
            <w:r>
              <w:t>6-18 months</w:t>
            </w:r>
          </w:p>
        </w:tc>
        <w:tc>
          <w:tcPr>
            <w:tcW w:type="dxa" w:w="1234"/>
          </w:tcPr>
          <w:p>
            <w:r>
              <w:t>Municipal security spending</w:t>
            </w:r>
          </w:p>
        </w:tc>
      </w:tr>
      <w:tr>
        <w:tc>
          <w:tcPr>
            <w:tcW w:type="dxa" w:w="1234"/>
          </w:tcPr>
          <w:p>
            <w:r>
              <w:t>CACI</w:t>
            </w:r>
          </w:p>
        </w:tc>
        <w:tc>
          <w:tcPr>
            <w:tcW w:type="dxa" w:w="1234"/>
          </w:tcPr>
          <w:p>
            <w:r>
              <w:t>Pure-play SIGINT — non-obvious leverage</w:t>
            </w:r>
          </w:p>
        </w:tc>
        <w:tc>
          <w:tcPr>
            <w:tcW w:type="dxa" w:w="1234"/>
          </w:tcPr>
          <w:p>
            <w:r>
              <w:t>Bullish</w:t>
            </w:r>
          </w:p>
        </w:tc>
        <w:tc>
          <w:tcPr>
            <w:tcW w:type="dxa" w:w="1234"/>
          </w:tcPr>
          <w:p>
            <w:r>
              <w:t>+3-7%</w:t>
            </w:r>
          </w:p>
        </w:tc>
        <w:tc>
          <w:tcPr>
            <w:tcW w:type="dxa" w:w="1234"/>
          </w:tcPr>
          <w:p>
            <w:r>
              <w:t>~35%</w:t>
            </w:r>
          </w:p>
        </w:tc>
        <w:tc>
          <w:tcPr>
            <w:tcW w:type="dxa" w:w="1234"/>
          </w:tcPr>
          <w:p>
            <w:r>
              <w:t>6-12 months</w:t>
            </w:r>
          </w:p>
        </w:tc>
        <w:tc>
          <w:tcPr>
            <w:tcW w:type="dxa" w:w="1234"/>
          </w:tcPr>
          <w:p>
            <w:r>
              <w:t>DHS threat level elevation</w:t>
            </w:r>
          </w:p>
        </w:tc>
      </w:tr>
    </w:tbl>
    <w:p>
      <w:r/>
      <w:r>
        <w:rPr>
          <w:b/>
        </w:rPr>
        <w:t>Key Catalysts:</w:t>
      </w:r>
      <w:r>
        <w:t xml:space="preserve"> DHS Threat Advisory Level (watch for elevation), FY2027 defense/intelligence budget proposals (spring 2026), subsequent ISIS attack claims (news flow), Pakistan government response and US diplomatic statements.</w:t>
      </w:r>
    </w:p>
    <w:p>
      <w:r/>
      <w:r>
        <w:rPr>
          <w:b/>
        </w:rPr>
        <w:t>Key Sensitivity:</w:t>
      </w:r>
      <w:r>
        <w:t xml:space="preserve"> This entire analysis hinges on whether this attack is isolated or signals a broader ISIS operational resurgence. A single attack = no trade. A pattern of 3+ attacks over 6 months = meaningful defense budget reallocation.</w:t>
      </w:r>
    </w:p>
    <w:p>
      <w:r/>
      <w:r>
        <w:rPr>
          <w:b/>
        </w:rPr>
        <w:t>Kill Condition:</w:t>
      </w:r>
      <w:r>
        <w:t xml:space="preserve"> If no follow-up ISIS-claimed attacks occur within 3 months, this is an isolated event with zero US equity impact — exit the thesis entirely. If DHS does NOT elevate the threat advisory level, the market isn't pricing in any escalation.</w:t>
      </w:r>
    </w:p>
    <w:p>
      <w:r/>
      <w:r>
        <w:rPr>
          <w:b/>
        </w:rPr>
        <w:t>Base Rate:</w:t>
      </w:r>
      <w:r>
        <w:t xml:space="preserve"> Isolated terrorism events historically move US equities &lt;0.5% and revert within 1-2 days. However, sustained terrorism escalation cycles (2015-2016 ISIS wave in Europe) correlated with defense/intelligence stocks outperforming by 8-15% over 12 months.</w:t>
      </w:r>
    </w:p>
    <w:p>
      <w:r/>
      <w:r>
        <w:rPr>
          <w:b/>
        </w:rPr>
        <w:t>Net-net:</w:t>
      </w:r>
      <w:r>
        <w:t xml:space="preserve"> Isolated Pakistan attack = no trade. The only thesis worth monitoring is whether this signals broader ISIS resurgence — in which case PLTR and LDOS are the plays, but only after confirming the pattern. Walk away immediately if no follow-up attacks within 3 months.</w:t>
      </w:r>
    </w:p>
    <w:p>
      <w:r>
        <w:t>This is a causal reasoning exercise — not investment advice. Always do your own due diligence.</w:t>
      </w:r>
    </w:p>
    <w:p>
      <w:r>
        <w:br w:type="page"/>
      </w:r>
    </w:p>
    <w:p>
      <w:pPr>
        <w:pStyle w:val="Heading1"/>
      </w:pPr>
      <w:r>
        <w:t>Event 5: 俄乌冲突持续升级</w:t>
      </w:r>
    </w:p>
    <w:p>
      <w:r>
        <w:t>俄乌冲突持续升级</w:t>
      </w:r>
    </w:p>
    <w:p>
      <w:r>
        <w:rPr>
          <w:b/>
          <w:color w:val="00468C"/>
          <w:sz w:val="22"/>
        </w:rPr>
        <w:t xml:space="preserve">User input: </w:t>
      </w:r>
      <w:r>
        <w:rPr>
          <w:sz w:val="22"/>
        </w:rPr>
        <w:t>本周俄罗斯对乌克兰多地发动无人机和导弹袭击，包括基辅和哈尔科夫，造成平民伤亡；乌克兰亦进行反击。买什么美国标的好？</w:t>
      </w:r>
    </w:p>
    <w:p>
      <w:r>
        <w:rPr>
          <w:color w:val="505050"/>
          <w:sz w:val="20"/>
        </w:rPr>
      </w:r>
      <w:r>
        <w:rPr>
          <w:b/>
          <w:color w:val="505050"/>
          <w:sz w:val="20"/>
        </w:rPr>
        <w:t>[Step 0] Classification:</w:t>
      </w:r>
      <w:r>
        <w:rPr>
          <w:color w:val="505050"/>
          <w:sz w:val="20"/>
        </w:rPr>
        <w:t xml:space="preserve"> `geopolitical` (international conflict — Russia-Ukraine) · `needs_verification = TRUE` (this week + named entities)</w:t>
      </w:r>
    </w:p>
    <w:p>
      <w:r>
        <w:rPr>
          <w:color w:val="505050"/>
          <w:sz w:val="20"/>
        </w:rPr>
      </w:r>
      <w:r>
        <w:rPr>
          <w:b/>
          <w:color w:val="505050"/>
          <w:sz w:val="20"/>
        </w:rPr>
        <w:t>[Step 0.5] Verification:</w:t>
      </w:r>
      <w:r>
        <w:rPr>
          <w:color w:val="505050"/>
          <w:sz w:val="20"/>
        </w:rPr>
        <w:t xml:space="preserve"> CONFIRMED — Russian drone and missile strikes on Kyiv and Kharkiv continued this week; Ukrainian counter-strikes also confirmed.</w:t>
      </w:r>
    </w:p>
    <w:p>
      <w:pPr>
        <w:pStyle w:val="Heading3"/>
      </w:pPr>
      <w:r>
        <w:t>Mr.IF Response:</w:t>
      </w:r>
    </w:p>
    <w:p>
      <w:r>
        <w:t>Russia-Ukraine is now in its third year — the initial shock trades (2022 energy spike, defense rally) are long played out. The current escalation is incremental, not paradigm-shifting. That said, two specific sub-themes still have legs: the ammunition/munitions consumption rate driving backlog for US defense primes, and the drone/counter-drone technology emerging as a new weapons category with dedicated procurement budgets.</w:t>
      </w:r>
    </w:p>
    <w:p>
      <w:r/>
      <w:r>
        <w:rPr>
          <w:b/>
        </w:rPr>
        <w:t>Top picks:</w:t>
      </w:r>
      <w:r>
        <w:t xml:space="preserve"> RTX &gt; LMT &gt; KTOS </w:t>
      </w:r>
      <w:r>
        <w:rPr>
          <w:b/>
        </w:rPr>
        <w:t>| Short focus:</w:t>
      </w:r>
      <w:r>
        <w:t xml:space="preserve"> None (no meaningful bearish thesis from incremental escalation)</w:t>
      </w:r>
    </w:p>
    <w:p>
      <w:r>
        <w:rPr>
          <w:b/>
          <w:sz w:val="22"/>
        </w:rPr>
        <w:t>The munitions consumption — sustained attrition → multi-year order backlog for US defense</w:t>
      </w:r>
    </w:p>
    <w:p>
      <w:r>
        <w:t>The key number: Ukraine fires 4,000-7,000 artillery rounds per day. NATO stockpiles are being drawn down faster than production can replenish. This isn't a 2022 story anymore — it's a 2026-2030 story. The US has committed $10B+ to replenish its own stockpiles through contracts with RTX (Raytheon — Patriot missiles, Stinger replacements), LMT (HIMARS rockets, GMLRS), and GD (155mm shells). These contracts are backlog that provides earnings visibility for 3-5 years. RTX just raised their multi-year guidance partly on replenishment orders.</w:t>
      </w:r>
    </w:p>
    <w:p>
      <w:r>
        <w:rPr>
          <w:b/>
          <w:sz w:val="22"/>
        </w:rPr>
        <w:t>The drone revolution — Ukraine as the proving ground → US defense pivots to counter-drone</w:t>
      </w:r>
    </w:p>
    <w:p>
      <w:r>
        <w:t>Here's the non-consensus play. Ukraine has demonstrated that cheap drones ($500-5,000 FPV drones) can destroy million-dollar tanks. The US military is scrambling to develop both offensive drone swarms and counter-drone systems. KTOS (Kratos) builds the Valkyrie autonomous drone platform for the US Air Force. AeroVironment (AVAV) makes Switchblade loitering munitions deployed in Ukraine. The counter-drone side: RTX's Coyote system, LHX's counter-UAS portfolio. This is a new weapons category with dedicated budget line items emerging in FY2027.</w:t>
      </w:r>
    </w:p>
    <w:p>
      <w:r>
        <w:rPr>
          <w:b/>
          <w:sz w:val="22"/>
        </w:rPr>
        <w:t>The LNG channel — European energy security remains a structural tailwind</w:t>
      </w:r>
    </w:p>
    <w:p>
      <w:r>
        <w:t>Every escalation reinforces Europe's determination to never depend on Russian gas again. US LNG export capacity is expanding (Venture Global, Cheniere). LNG (Cheniere Energy) benefits from long-term contract pricing and volume growth. But be honest: this is a well-known trade that's already largely priced into current valuations. It's a hold, not a new entry.</w:t>
      </w:r>
    </w:p>
    <w:p>
      <w:pPr>
        <w:jc w:val="center"/>
      </w:pPr>
      <w:r>
        <w:rPr>
          <w:b/>
          <w:color w:val="326496"/>
          <w:sz w:val="24"/>
        </w:rPr>
        <w:t>━━━━━━━━━━ 📊 Reference Data ━━━━━━━━━━</w:t>
      </w:r>
    </w:p>
    <w:p>
      <w:r>
        <w:rPr>
          <w:b/>
          <w:sz w:val="22"/>
        </w:rPr>
        <w:t>Names to watch:</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t>Ticker</w:t>
            </w:r>
          </w:p>
        </w:tc>
        <w:tc>
          <w:tcPr>
            <w:tcW w:type="dxa" w:w="1234"/>
          </w:tcPr>
          <w:p>
            <w:r>
              <w:t>Why</w:t>
            </w:r>
          </w:p>
        </w:tc>
        <w:tc>
          <w:tcPr>
            <w:tcW w:type="dxa" w:w="1234"/>
          </w:tcPr>
          <w:p>
            <w:r>
              <w:t>Direction</w:t>
            </w:r>
          </w:p>
        </w:tc>
        <w:tc>
          <w:tcPr>
            <w:tcW w:type="dxa" w:w="1234"/>
          </w:tcPr>
          <w:p>
            <w:r>
              <w:t>Magnitude</w:t>
            </w:r>
          </w:p>
        </w:tc>
        <w:tc>
          <w:tcPr>
            <w:tcW w:type="dxa" w:w="1234"/>
          </w:tcPr>
          <w:p>
            <w:r>
              <w:t>Probability</w:t>
            </w:r>
          </w:p>
        </w:tc>
        <w:tc>
          <w:tcPr>
            <w:tcW w:type="dxa" w:w="1234"/>
          </w:tcPr>
          <w:p>
            <w:r>
              <w:t>Time</w:t>
            </w:r>
          </w:p>
        </w:tc>
        <w:tc>
          <w:tcPr>
            <w:tcW w:type="dxa" w:w="1234"/>
          </w:tcPr>
          <w:p>
            <w:r>
              <w:t>Key Variable</w:t>
            </w:r>
          </w:p>
        </w:tc>
      </w:tr>
      <w:tr>
        <w:tc>
          <w:tcPr>
            <w:tcW w:type="dxa" w:w="1234"/>
          </w:tcPr>
          <w:p>
            <w:r>
              <w:t>RTX</w:t>
            </w:r>
          </w:p>
        </w:tc>
        <w:tc>
          <w:tcPr>
            <w:tcW w:type="dxa" w:w="1234"/>
          </w:tcPr>
          <w:p>
            <w:r>
              <w:t>Patriot + Stinger replenishment backlog, counter-drone</w:t>
            </w:r>
          </w:p>
        </w:tc>
        <w:tc>
          <w:tcPr>
            <w:tcW w:type="dxa" w:w="1234"/>
          </w:tcPr>
          <w:p>
            <w:r>
              <w:t>Bullish</w:t>
            </w:r>
          </w:p>
        </w:tc>
        <w:tc>
          <w:tcPr>
            <w:tcW w:type="dxa" w:w="1234"/>
          </w:tcPr>
          <w:p>
            <w:r>
              <w:t>+5-10%</w:t>
            </w:r>
          </w:p>
        </w:tc>
        <w:tc>
          <w:tcPr>
            <w:tcW w:type="dxa" w:w="1234"/>
          </w:tcPr>
          <w:p>
            <w:r>
              <w:t>~70%</w:t>
            </w:r>
          </w:p>
        </w:tc>
        <w:tc>
          <w:tcPr>
            <w:tcW w:type="dxa" w:w="1234"/>
          </w:tcPr>
          <w:p>
            <w:r>
              <w:t>6-18 months</w:t>
            </w:r>
          </w:p>
        </w:tc>
        <w:tc>
          <w:tcPr>
            <w:tcW w:type="dxa" w:w="1234"/>
          </w:tcPr>
          <w:p>
            <w:r>
              <w:t>FY27 defense budget</w:t>
            </w:r>
          </w:p>
        </w:tc>
      </w:tr>
      <w:tr>
        <w:tc>
          <w:tcPr>
            <w:tcW w:type="dxa" w:w="1234"/>
          </w:tcPr>
          <w:p>
            <w:r>
              <w:t>LMT</w:t>
            </w:r>
          </w:p>
        </w:tc>
        <w:tc>
          <w:tcPr>
            <w:tcW w:type="dxa" w:w="1234"/>
          </w:tcPr>
          <w:p>
            <w:r>
              <w:t>HIMARS/GMLRS order backlog + F-16 to Ukraine</w:t>
            </w:r>
          </w:p>
        </w:tc>
        <w:tc>
          <w:tcPr>
            <w:tcW w:type="dxa" w:w="1234"/>
          </w:tcPr>
          <w:p>
            <w:r>
              <w:t>Bullish</w:t>
            </w:r>
          </w:p>
        </w:tc>
        <w:tc>
          <w:tcPr>
            <w:tcW w:type="dxa" w:w="1234"/>
          </w:tcPr>
          <w:p>
            <w:r>
              <w:t>+4-8%</w:t>
            </w:r>
          </w:p>
        </w:tc>
        <w:tc>
          <w:tcPr>
            <w:tcW w:type="dxa" w:w="1234"/>
          </w:tcPr>
          <w:p>
            <w:r>
              <w:t>~65%</w:t>
            </w:r>
          </w:p>
        </w:tc>
        <w:tc>
          <w:tcPr>
            <w:tcW w:type="dxa" w:w="1234"/>
          </w:tcPr>
          <w:p>
            <w:r>
              <w:t>6-18 months</w:t>
            </w:r>
          </w:p>
        </w:tc>
        <w:tc>
          <w:tcPr>
            <w:tcW w:type="dxa" w:w="1234"/>
          </w:tcPr>
          <w:p>
            <w:r>
              <w:t>Replenishment contract awards</w:t>
            </w:r>
          </w:p>
        </w:tc>
      </w:tr>
      <w:tr>
        <w:tc>
          <w:tcPr>
            <w:tcW w:type="dxa" w:w="1234"/>
          </w:tcPr>
          <w:p>
            <w:r>
              <w:t>KTOS</w:t>
            </w:r>
          </w:p>
        </w:tc>
        <w:tc>
          <w:tcPr>
            <w:tcW w:type="dxa" w:w="1234"/>
          </w:tcPr>
          <w:p>
            <w:r>
              <w:t>Valkyrie autonomous drone — new weapons category</w:t>
            </w:r>
          </w:p>
        </w:tc>
        <w:tc>
          <w:tcPr>
            <w:tcW w:type="dxa" w:w="1234"/>
          </w:tcPr>
          <w:p>
            <w:r>
              <w:t>Bullish</w:t>
            </w:r>
          </w:p>
        </w:tc>
        <w:tc>
          <w:tcPr>
            <w:tcW w:type="dxa" w:w="1234"/>
          </w:tcPr>
          <w:p>
            <w:r>
              <w:t>+8-15%</w:t>
            </w:r>
          </w:p>
        </w:tc>
        <w:tc>
          <w:tcPr>
            <w:tcW w:type="dxa" w:w="1234"/>
          </w:tcPr>
          <w:p>
            <w:r>
              <w:t>~50%</w:t>
            </w:r>
          </w:p>
        </w:tc>
        <w:tc>
          <w:tcPr>
            <w:tcW w:type="dxa" w:w="1234"/>
          </w:tcPr>
          <w:p>
            <w:r>
              <w:t>6-24 months</w:t>
            </w:r>
          </w:p>
        </w:tc>
        <w:tc>
          <w:tcPr>
            <w:tcW w:type="dxa" w:w="1234"/>
          </w:tcPr>
          <w:p>
            <w:r>
              <w:t>US Air Force drone procurement</w:t>
            </w:r>
          </w:p>
        </w:tc>
      </w:tr>
      <w:tr>
        <w:tc>
          <w:tcPr>
            <w:tcW w:type="dxa" w:w="1234"/>
          </w:tcPr>
          <w:p>
            <w:r>
              <w:t>AVAV</w:t>
            </w:r>
          </w:p>
        </w:tc>
        <w:tc>
          <w:tcPr>
            <w:tcW w:type="dxa" w:w="1234"/>
          </w:tcPr>
          <w:p>
            <w:r>
              <w:t>Switchblade loitering munitions — proven in Ukraine</w:t>
            </w:r>
          </w:p>
        </w:tc>
        <w:tc>
          <w:tcPr>
            <w:tcW w:type="dxa" w:w="1234"/>
          </w:tcPr>
          <w:p>
            <w:r>
              <w:t>Bullish</w:t>
            </w:r>
          </w:p>
        </w:tc>
        <w:tc>
          <w:tcPr>
            <w:tcW w:type="dxa" w:w="1234"/>
          </w:tcPr>
          <w:p>
            <w:r>
              <w:t>+5-12%</w:t>
            </w:r>
          </w:p>
        </w:tc>
        <w:tc>
          <w:tcPr>
            <w:tcW w:type="dxa" w:w="1234"/>
          </w:tcPr>
          <w:p>
            <w:r>
              <w:t>~50%</w:t>
            </w:r>
          </w:p>
        </w:tc>
        <w:tc>
          <w:tcPr>
            <w:tcW w:type="dxa" w:w="1234"/>
          </w:tcPr>
          <w:p>
            <w:r>
              <w:t>6-18 months</w:t>
            </w:r>
          </w:p>
        </w:tc>
        <w:tc>
          <w:tcPr>
            <w:tcW w:type="dxa" w:w="1234"/>
          </w:tcPr>
          <w:p>
            <w:r>
              <w:t>Follow-on Ukraine orders</w:t>
            </w:r>
          </w:p>
        </w:tc>
      </w:tr>
      <w:tr>
        <w:tc>
          <w:tcPr>
            <w:tcW w:type="dxa" w:w="1234"/>
          </w:tcPr>
          <w:p>
            <w:r>
              <w:t>LNG</w:t>
            </w:r>
          </w:p>
        </w:tc>
        <w:tc>
          <w:tcPr>
            <w:tcW w:type="dxa" w:w="1234"/>
          </w:tcPr>
          <w:p>
            <w:r>
              <w:t>European energy security — long-term LNG contracts</w:t>
            </w:r>
          </w:p>
        </w:tc>
        <w:tc>
          <w:tcPr>
            <w:tcW w:type="dxa" w:w="1234"/>
          </w:tcPr>
          <w:p>
            <w:r>
              <w:t>Bullish</w:t>
            </w:r>
          </w:p>
        </w:tc>
        <w:tc>
          <w:tcPr>
            <w:tcW w:type="dxa" w:w="1234"/>
          </w:tcPr>
          <w:p>
            <w:r>
              <w:t>+2-5%</w:t>
            </w:r>
          </w:p>
        </w:tc>
        <w:tc>
          <w:tcPr>
            <w:tcW w:type="dxa" w:w="1234"/>
          </w:tcPr>
          <w:p>
            <w:r>
              <w:t>~55%</w:t>
            </w:r>
          </w:p>
        </w:tc>
        <w:tc>
          <w:tcPr>
            <w:tcW w:type="dxa" w:w="1234"/>
          </w:tcPr>
          <w:p>
            <w:r>
              <w:t>12+ months</w:t>
            </w:r>
          </w:p>
        </w:tc>
        <w:tc>
          <w:tcPr>
            <w:tcW w:type="dxa" w:w="1234"/>
          </w:tcPr>
          <w:p>
            <w:r>
              <w:t>Largely priced in</w:t>
            </w:r>
          </w:p>
        </w:tc>
      </w:tr>
    </w:tbl>
    <w:p>
      <w:r/>
      <w:r>
        <w:rPr>
          <w:b/>
        </w:rPr>
        <w:t>Key Catalysts:</w:t>
      </w:r>
      <w:r>
        <w:t xml:space="preserve"> FY2027 US defense budget proposal (spring 2026), Replicator Initiative Phase 2 milestones (Q2-Q3 2026), Ukraine supplemental aid package vote (Congress), RTX Q1 earnings and backlog update.</w:t>
      </w:r>
    </w:p>
    <w:p>
      <w:r/>
      <w:r>
        <w:rPr>
          <w:b/>
        </w:rPr>
        <w:t>Key Sensitivity:</w:t>
      </w:r>
      <w:r>
        <w:t xml:space="preserve"> This thesis hinges on whether the conflict continues at current intensity (or escalates) vs. a ceasefire/peace deal. A credible peace negotiation would be bearish for defense stocks short-term.</w:t>
      </w:r>
    </w:p>
    <w:p>
      <w:r/>
      <w:r>
        <w:rPr>
          <w:b/>
        </w:rPr>
        <w:t>Kill Condition:</w:t>
      </w:r>
      <w:r>
        <w:t xml:space="preserve"> If credible ceasefire negotiations begin (both sides at the table with territorial concession framework), reduce defense overweight by 50%. If FY2027 defense topline growth comes in below 3% real, the procurement acceleration thesis weakens.</w:t>
      </w:r>
    </w:p>
    <w:p>
      <w:r/>
      <w:r>
        <w:rPr>
          <w:b/>
        </w:rPr>
        <w:t>Base Rate:</w:t>
      </w:r>
      <w:r>
        <w:t xml:space="preserve"> Russia-Ukraine conflict has driven US defense stocks +25-40% since Feb 2022. Incremental escalation now adds ~2-5% per quarter on sustained procurement flow. Defense sector has outperformed SPY by ~15% annualized since conflict began.</w:t>
      </w:r>
    </w:p>
    <w:p>
      <w:r/>
      <w:r>
        <w:rPr>
          <w:b/>
        </w:rPr>
        <w:t>Net-net:</w:t>
      </w:r>
      <w:r>
        <w:t xml:space="preserve"> The incremental trade is drone/counter-drone (KTOS, AVAV) as a new weapons category, not the 2022 defense rotation replay. RTX is the steady compounder with 3-5 year backlog visibility. Walk away on defense overweight if credible ceasefire talks begin.</w:t>
      </w:r>
    </w:p>
    <w:p>
      <w:r>
        <w:t>This is a causal reasoning exercise — not investment advice. Always do your own due diligence.</w:t>
      </w:r>
    </w:p>
    <w:p>
      <w:r>
        <w:br w:type="page"/>
      </w:r>
    </w:p>
    <w:p>
      <w:pPr>
        <w:pStyle w:val="Heading1"/>
      </w:pPr>
      <w:r>
        <w:t>Event 6: 加沙地区军事行动</w:t>
      </w:r>
    </w:p>
    <w:p>
      <w:r>
        <w:t>加沙地区军事行动</w:t>
      </w:r>
    </w:p>
    <w:p>
      <w:r>
        <w:rPr>
          <w:b/>
          <w:color w:val="00468C"/>
          <w:sz w:val="22"/>
        </w:rPr>
        <w:t xml:space="preserve">User input: </w:t>
      </w:r>
      <w:r>
        <w:rPr>
          <w:sz w:val="22"/>
        </w:rPr>
        <w:t>以色列在本周继续对加沙发动空袭，多起事件造成平民伤亡，包括住宅楼被毁。买什么美国标的好？</w:t>
      </w:r>
    </w:p>
    <w:p>
      <w:r>
        <w:rPr>
          <w:color w:val="505050"/>
          <w:sz w:val="20"/>
        </w:rPr>
      </w:r>
      <w:r>
        <w:rPr>
          <w:b/>
          <w:color w:val="505050"/>
          <w:sz w:val="20"/>
        </w:rPr>
        <w:t>[Step 0] Classification:</w:t>
      </w:r>
      <w:r>
        <w:rPr>
          <w:color w:val="505050"/>
          <w:sz w:val="20"/>
        </w:rPr>
        <w:t xml:space="preserve"> `geopolitical` (Middle East conflict) · `needs_verification = TRUE` (this week + named entities)</w:t>
      </w:r>
    </w:p>
    <w:p>
      <w:r>
        <w:rPr>
          <w:color w:val="505050"/>
          <w:sz w:val="20"/>
        </w:rPr>
      </w:r>
      <w:r>
        <w:rPr>
          <w:b/>
          <w:color w:val="505050"/>
          <w:sz w:val="20"/>
        </w:rPr>
        <w:t>[Step 0.5] Verification:</w:t>
      </w:r>
      <w:r>
        <w:rPr>
          <w:color w:val="505050"/>
          <w:sz w:val="20"/>
        </w:rPr>
        <w:t xml:space="preserve"> CONFIRMED — Israeli airstrikes on Gaza continued this week with civilian casualties reported.</w:t>
      </w:r>
    </w:p>
    <w:p>
      <w:pPr>
        <w:pStyle w:val="Heading3"/>
      </w:pPr>
      <w:r>
        <w:t>Mr.IF Response:</w:t>
      </w:r>
    </w:p>
    <w:p>
      <w:r>
        <w:t>The Gaza conflict's direct impact on US equities is limited — but the second-order risk is real: any escalation that draws in Iran or threatens the Strait of Hormuz would spike oil prices and trigger a textbook risk-off rotation. At current intensity, the highest-conviction play is the Israel-adjacent defense/cybersecurity complex, with gold as the tail-risk hedge.</w:t>
      </w:r>
    </w:p>
    <w:p>
      <w:r/>
      <w:r>
        <w:rPr>
          <w:b/>
        </w:rPr>
        <w:t>Top picks:</w:t>
      </w:r>
      <w:r>
        <w:t xml:space="preserve"> CYBR &gt; LMT &gt; GLD </w:t>
      </w:r>
      <w:r>
        <w:rPr>
          <w:b/>
        </w:rPr>
        <w:t>| Short focus:</w:t>
      </w:r>
      <w:r>
        <w:t xml:space="preserve"> DAL (oil spike risk if Hormuz escalation)</w:t>
      </w:r>
    </w:p>
    <w:p>
      <w:r>
        <w:rPr>
          <w:b/>
          <w:sz w:val="22"/>
        </w:rPr>
        <w:t>Channel 1: Israel defense cooperation — Iron Dome replenishment → US defense contractors</w:t>
      </w:r>
    </w:p>
    <w:p>
      <w:r>
        <w:t>The US has committed $14.3B in military aid to Israel since October 2023, including Iron Dome interceptor replenishment. Each Iron Dome interceptor costs ~$50K, and Israel has fired thousands. RTX produces the Tamir interceptor under license, and the US co-produces with Rafael. LMT's THAAD and David's Sling components are also in the replenishment pipeline. Continued Gaza operations mean continued consumption of these systems.</w:t>
      </w:r>
    </w:p>
    <w:p>
      <w:r>
        <w:rPr>
          <w:b/>
          <w:sz w:val="22"/>
        </w:rPr>
        <w:t>Channel 2: Israeli cybersecurity — conflict-driven innovation → US-listed Israeli cyber</w:t>
      </w:r>
    </w:p>
    <w:p>
      <w:r>
        <w:t>Here's the non-obvious angle. Every Israel-Gaza conflict cycle has historically accelerated Israeli cybersecurity innovation (Unit 8200 veterans commercialize battlefield tech). CYBR (CyberArk, Israeli-founded), CHKP (Check Point), and PANW all have deep Israeli R&amp;D roots. The thesis: conflict drives talent into the cybersecurity startup pipeline, and US-listed Israeli cyber companies are the primary acquirers. CYBR specifically has been gaining identity security market share and trades at a premium justified by 20%+ growth.</w:t>
      </w:r>
    </w:p>
    <w:p>
      <w:r>
        <w:rPr>
          <w:b/>
          <w:sz w:val="22"/>
        </w:rPr>
        <w:t>Channel 3: Oil tail risk — Iran escalation → Strait of Hormuz → energy spike</w:t>
      </w:r>
    </w:p>
    <w:p>
      <w:r>
        <w:t>The biggest financial risk isn't Gaza itself — it's the escalation ladder to Iran. If Hezbollah reignites the northern front or Iran directly enters, the Strait of Hormuz becomes a pricing risk (20% of global oil trade). GLD and USO would spike. I give this low probability (~15-20%) at current intensity, but the payoff is asymmetric.</w:t>
      </w:r>
    </w:p>
    <w:p>
      <w:pPr>
        <w:jc w:val="center"/>
      </w:pPr>
      <w:r>
        <w:rPr>
          <w:b/>
          <w:color w:val="326496"/>
          <w:sz w:val="24"/>
        </w:rPr>
        <w:t>━━━━━━━━━━ 📊 Reference Data ━━━━━━━━━━</w:t>
      </w:r>
    </w:p>
    <w:p>
      <w:r>
        <w:rPr>
          <w:b/>
          <w:sz w:val="22"/>
        </w:rPr>
        <w:t>Names to watch:</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t>Ticker</w:t>
            </w:r>
          </w:p>
        </w:tc>
        <w:tc>
          <w:tcPr>
            <w:tcW w:type="dxa" w:w="1234"/>
          </w:tcPr>
          <w:p>
            <w:r>
              <w:t>Why</w:t>
            </w:r>
          </w:p>
        </w:tc>
        <w:tc>
          <w:tcPr>
            <w:tcW w:type="dxa" w:w="1234"/>
          </w:tcPr>
          <w:p>
            <w:r>
              <w:t>Direction</w:t>
            </w:r>
          </w:p>
        </w:tc>
        <w:tc>
          <w:tcPr>
            <w:tcW w:type="dxa" w:w="1234"/>
          </w:tcPr>
          <w:p>
            <w:r>
              <w:t>Magnitude</w:t>
            </w:r>
          </w:p>
        </w:tc>
        <w:tc>
          <w:tcPr>
            <w:tcW w:type="dxa" w:w="1234"/>
          </w:tcPr>
          <w:p>
            <w:r>
              <w:t>Probability</w:t>
            </w:r>
          </w:p>
        </w:tc>
        <w:tc>
          <w:tcPr>
            <w:tcW w:type="dxa" w:w="1234"/>
          </w:tcPr>
          <w:p>
            <w:r>
              <w:t>Time</w:t>
            </w:r>
          </w:p>
        </w:tc>
        <w:tc>
          <w:tcPr>
            <w:tcW w:type="dxa" w:w="1234"/>
          </w:tcPr>
          <w:p>
            <w:r>
              <w:t>Key Variable</w:t>
            </w:r>
          </w:p>
        </w:tc>
      </w:tr>
      <w:tr>
        <w:tc>
          <w:tcPr>
            <w:tcW w:type="dxa" w:w="1234"/>
          </w:tcPr>
          <w:p>
            <w:r>
              <w:t>CYBR</w:t>
            </w:r>
          </w:p>
        </w:tc>
        <w:tc>
          <w:tcPr>
            <w:tcW w:type="dxa" w:w="1234"/>
          </w:tcPr>
          <w:p>
            <w:r>
              <w:t>Israeli cyber — conflict-driven innovation cycle</w:t>
            </w:r>
          </w:p>
        </w:tc>
        <w:tc>
          <w:tcPr>
            <w:tcW w:type="dxa" w:w="1234"/>
          </w:tcPr>
          <w:p>
            <w:r>
              <w:t>Bullish</w:t>
            </w:r>
          </w:p>
        </w:tc>
        <w:tc>
          <w:tcPr>
            <w:tcW w:type="dxa" w:w="1234"/>
          </w:tcPr>
          <w:p>
            <w:r>
              <w:t>+5-10%</w:t>
            </w:r>
          </w:p>
        </w:tc>
        <w:tc>
          <w:tcPr>
            <w:tcW w:type="dxa" w:w="1234"/>
          </w:tcPr>
          <w:p>
            <w:r>
              <w:t>~55%</w:t>
            </w:r>
          </w:p>
        </w:tc>
        <w:tc>
          <w:tcPr>
            <w:tcW w:type="dxa" w:w="1234"/>
          </w:tcPr>
          <w:p>
            <w:r>
              <w:t>6-18 months</w:t>
            </w:r>
          </w:p>
        </w:tc>
        <w:tc>
          <w:tcPr>
            <w:tcW w:type="dxa" w:w="1234"/>
          </w:tcPr>
          <w:p>
            <w:r>
              <w:t>Revenue growth sustainability</w:t>
            </w:r>
          </w:p>
        </w:tc>
      </w:tr>
      <w:tr>
        <w:tc>
          <w:tcPr>
            <w:tcW w:type="dxa" w:w="1234"/>
          </w:tcPr>
          <w:p>
            <w:r>
              <w:t>LMT</w:t>
            </w:r>
          </w:p>
        </w:tc>
        <w:tc>
          <w:tcPr>
            <w:tcW w:type="dxa" w:w="1234"/>
          </w:tcPr>
          <w:p>
            <w:r>
              <w:t>Iron Dome + THAAD replenishment orders</w:t>
            </w:r>
          </w:p>
        </w:tc>
        <w:tc>
          <w:tcPr>
            <w:tcW w:type="dxa" w:w="1234"/>
          </w:tcPr>
          <w:p>
            <w:r>
              <w:t>Bullish</w:t>
            </w:r>
          </w:p>
        </w:tc>
        <w:tc>
          <w:tcPr>
            <w:tcW w:type="dxa" w:w="1234"/>
          </w:tcPr>
          <w:p>
            <w:r>
              <w:t>+3-6%</w:t>
            </w:r>
          </w:p>
        </w:tc>
        <w:tc>
          <w:tcPr>
            <w:tcW w:type="dxa" w:w="1234"/>
          </w:tcPr>
          <w:p>
            <w:r>
              <w:t>~60%</w:t>
            </w:r>
          </w:p>
        </w:tc>
        <w:tc>
          <w:tcPr>
            <w:tcW w:type="dxa" w:w="1234"/>
          </w:tcPr>
          <w:p>
            <w:r>
              <w:t>6-12 months</w:t>
            </w:r>
          </w:p>
        </w:tc>
        <w:tc>
          <w:tcPr>
            <w:tcW w:type="dxa" w:w="1234"/>
          </w:tcPr>
          <w:p>
            <w:r>
              <w:t>US aid package continuation</w:t>
            </w:r>
          </w:p>
        </w:tc>
      </w:tr>
      <w:tr>
        <w:tc>
          <w:tcPr>
            <w:tcW w:type="dxa" w:w="1234"/>
          </w:tcPr>
          <w:p>
            <w:r>
              <w:t>GLD</w:t>
            </w:r>
          </w:p>
        </w:tc>
        <w:tc>
          <w:tcPr>
            <w:tcW w:type="dxa" w:w="1234"/>
          </w:tcPr>
          <w:p>
            <w:r>
              <w:t>Tail risk hedge — Iran/Hormuz escalation</w:t>
            </w:r>
          </w:p>
        </w:tc>
        <w:tc>
          <w:tcPr>
            <w:tcW w:type="dxa" w:w="1234"/>
          </w:tcPr>
          <w:p>
            <w:r>
              <w:t>Bullish</w:t>
            </w:r>
          </w:p>
        </w:tc>
        <w:tc>
          <w:tcPr>
            <w:tcW w:type="dxa" w:w="1234"/>
          </w:tcPr>
          <w:p>
            <w:r>
              <w:t>+5-15%</w:t>
            </w:r>
          </w:p>
        </w:tc>
        <w:tc>
          <w:tcPr>
            <w:tcW w:type="dxa" w:w="1234"/>
          </w:tcPr>
          <w:p>
            <w:r>
              <w:t>~25%</w:t>
            </w:r>
          </w:p>
        </w:tc>
        <w:tc>
          <w:tcPr>
            <w:tcW w:type="dxa" w:w="1234"/>
          </w:tcPr>
          <w:p>
            <w:r>
              <w:t>On escalation</w:t>
            </w:r>
          </w:p>
        </w:tc>
        <w:tc>
          <w:tcPr>
            <w:tcW w:type="dxa" w:w="1234"/>
          </w:tcPr>
          <w:p>
            <w:r>
              <w:t>Iran involvement</w:t>
            </w:r>
          </w:p>
        </w:tc>
      </w:tr>
      <w:tr>
        <w:tc>
          <w:tcPr>
            <w:tcW w:type="dxa" w:w="1234"/>
          </w:tcPr>
          <w:p>
            <w:r>
              <w:t>DAL</w:t>
            </w:r>
          </w:p>
        </w:tc>
        <w:tc>
          <w:tcPr>
            <w:tcW w:type="dxa" w:w="1234"/>
          </w:tcPr>
          <w:p>
            <w:r>
              <w:t>Oil spike risk if Hormuz disrupted</w:t>
            </w:r>
          </w:p>
        </w:tc>
        <w:tc>
          <w:tcPr>
            <w:tcW w:type="dxa" w:w="1234"/>
          </w:tcPr>
          <w:p>
            <w:r>
              <w:t>Bearish</w:t>
            </w:r>
          </w:p>
        </w:tc>
        <w:tc>
          <w:tcPr>
            <w:tcW w:type="dxa" w:w="1234"/>
          </w:tcPr>
          <w:p>
            <w:r>
              <w:t>-5-12%</w:t>
            </w:r>
          </w:p>
        </w:tc>
        <w:tc>
          <w:tcPr>
            <w:tcW w:type="dxa" w:w="1234"/>
          </w:tcPr>
          <w:p>
            <w:r>
              <w:t>~20%</w:t>
            </w:r>
          </w:p>
        </w:tc>
        <w:tc>
          <w:tcPr>
            <w:tcW w:type="dxa" w:w="1234"/>
          </w:tcPr>
          <w:p>
            <w:r>
              <w:t>On escalation</w:t>
            </w:r>
          </w:p>
        </w:tc>
        <w:tc>
          <w:tcPr>
            <w:tcW w:type="dxa" w:w="1234"/>
          </w:tcPr>
          <w:p>
            <w:r>
              <w:t>Fuel cost sensitivity</w:t>
            </w:r>
          </w:p>
        </w:tc>
      </w:tr>
    </w:tbl>
    <w:p>
      <w:r/>
      <w:r>
        <w:rPr>
          <w:b/>
        </w:rPr>
        <w:t>Key Catalysts:</w:t>
      </w:r>
      <w:r>
        <w:t xml:space="preserve"> Iran-Israel diplomatic posture (ongoing), Houthi Red Sea activity (shipping cost proxy), US military aid supplemental votes (Congress), oil inventory reports (weekly EIA).</w:t>
      </w:r>
    </w:p>
    <w:p>
      <w:r/>
      <w:r>
        <w:rPr>
          <w:b/>
        </w:rPr>
        <w:t>Key Sensitivity:</w:t>
      </w:r>
      <w:r>
        <w:t xml:space="preserve"> This analysis hinges on the conflict staying at current intensity vs. escalating to involve Iran/Hezbollah. At current levels, impact is contained. If Iran enters, it's a completely different playbook.</w:t>
      </w:r>
    </w:p>
    <w:p>
      <w:r/>
      <w:r>
        <w:rPr>
          <w:b/>
        </w:rPr>
        <w:t>Kill Condition:</w:t>
      </w:r>
      <w:r>
        <w:t xml:space="preserve"> If a credible Gaza ceasefire is announced, the defense replenishment urgency drops and GLD's geopolitical premium fades. If oil stays below $80/bbl despite continued conflict, the market is telling you escalation risk is fully priced out.</w:t>
      </w:r>
    </w:p>
    <w:p>
      <w:r/>
      <w:r>
        <w:rPr>
          <w:b/>
        </w:rPr>
        <w:t>Base Rate:</w:t>
      </w:r>
      <w:r>
        <w:t xml:space="preserve"> Middle East conflicts historically cause VIX spikes of +5-10 points (reverting in 2-4 weeks) UNLESS oil supply is actually disrupted. The 2023-2024 Gaza conflict moved oil &lt;5% net because Hormuz was never threatened.</w:t>
      </w:r>
    </w:p>
    <w:p>
      <w:r/>
      <w:r>
        <w:rPr>
          <w:b/>
        </w:rPr>
        <w:t>Net-net:</w:t>
      </w:r>
      <w:r>
        <w:t xml:space="preserve"> At current intensity, the highest-conviction play is CYBR (Israeli cybersecurity innovation cycle) with LMT as the steady replenishment play. GLD is the asymmetric tail hedge only if Iran escalates — low probability but high payoff. Walk away on the oil/defense thesis if a credible ceasefire materializes.</w:t>
      </w:r>
    </w:p>
    <w:p>
      <w:r>
        <w:t>This is a causal reasoning exercise — not investment advice. Always do your own due diligence.</w:t>
      </w:r>
    </w:p>
    <w:p>
      <w:r>
        <w:br w:type="page"/>
      </w:r>
    </w:p>
    <w:p>
      <w:pPr>
        <w:pStyle w:val="Heading1"/>
      </w:pPr>
      <w:r>
        <w:t>Event 7: 美俄New START核军控条约到期</w:t>
      </w:r>
    </w:p>
    <w:p>
      <w:r>
        <w:t>美俄New START核军控条约到期</w:t>
      </w:r>
    </w:p>
    <w:p>
      <w:r>
        <w:rPr>
          <w:b/>
          <w:color w:val="00468C"/>
          <w:sz w:val="22"/>
        </w:rPr>
        <w:t xml:space="preserve">User input: </w:t>
      </w:r>
      <w:r>
        <w:rPr>
          <w:sz w:val="22"/>
        </w:rPr>
        <w:t>2月5日，美俄《新削减战略武器条约》正式到期，同时两国恢复高层军事沟通，引发国际核军控关注。买什么美国标的好？</w:t>
      </w:r>
    </w:p>
    <w:p>
      <w:r>
        <w:rPr>
          <w:color w:val="505050"/>
          <w:sz w:val="20"/>
        </w:rPr>
      </w:r>
      <w:r>
        <w:rPr>
          <w:b/>
          <w:color w:val="505050"/>
          <w:sz w:val="20"/>
        </w:rPr>
        <w:t>[Step 0] Classification:</w:t>
      </w:r>
      <w:r>
        <w:rPr>
          <w:color w:val="505050"/>
          <w:sz w:val="20"/>
        </w:rPr>
        <w:t xml:space="preserve"> `geopolitical` (nuclear/arms control) · `needs_verification = TRUE` (specific date + named treaty)</w:t>
      </w:r>
    </w:p>
    <w:p>
      <w:r>
        <w:rPr>
          <w:color w:val="505050"/>
          <w:sz w:val="20"/>
        </w:rPr>
      </w:r>
      <w:r>
        <w:rPr>
          <w:b/>
          <w:color w:val="505050"/>
          <w:sz w:val="20"/>
        </w:rPr>
        <w:t>[Step 0.5] Verification:</w:t>
      </w:r>
      <w:r>
        <w:rPr>
          <w:color w:val="505050"/>
          <w:sz w:val="20"/>
        </w:rPr>
        <w:t xml:space="preserve"> CONFIRMED — New START treaty expired on Feb 5, 2026. US-Russia resumed high-level military communication channels.</w:t>
      </w:r>
    </w:p>
    <w:p>
      <w:pPr>
        <w:pStyle w:val="Heading3"/>
      </w:pPr>
      <w:r>
        <w:t>Mr.IF Response:</w:t>
      </w:r>
    </w:p>
    <w:p>
      <w:r>
        <w:t>I call this the "Nuclear Orphan Trade" — the arms control framework just died, but the stocks that benefit from nuclear modernization (NOC, GD, CCJ) haven't moved much because nobody trades nuclear risk day-to-day. The paradox: the treaty expiration is the most significant nuclear proliferation event in decades, yet the market barely noticed because there's no immediate catalyst. The trade is positioning ahead of the inevitable nuclear modernization budget acceleration.</w:t>
      </w:r>
    </w:p>
    <w:p>
      <w:r/>
      <w:r>
        <w:rPr>
          <w:b/>
        </w:rPr>
        <w:t>Top picks:</w:t>
      </w:r>
      <w:r>
        <w:t xml:space="preserve"> NOC &gt; CCJ &gt; BWX </w:t>
      </w:r>
      <w:r>
        <w:rPr>
          <w:b/>
        </w:rPr>
        <w:t>| Short focus:</w:t>
      </w:r>
      <w:r>
        <w:t xml:space="preserve"> None</w:t>
      </w:r>
    </w:p>
    <w:p>
      <w:r>
        <w:rPr>
          <w:b/>
          <w:sz w:val="22"/>
        </w:rPr>
        <w:t>The nuclear triad modernization — treaty death → no constraints → accelerated modernization timeline</w:t>
      </w:r>
    </w:p>
    <w:p>
      <w:r>
        <w:t>Without New START, the US and Russia are free to expand nuclear arsenals for the first time since 1972. The US nuclear triad modernization program (Sentinel ICBM by NOC, Columbia-class SSBN by GD, B-21 Raider by NOC) was already a $1.5 trillion, 30-year commitment. Treaty expiration removes the last argument for restraint. Congressional hawks will push for accelerated timelines and expanded scope. NOC is the primary beneficiary — they build both the Sentinel ICBM (replacing Minuteman III) and the B-21 strategic bomber. GD builds the Columbia-class ballistic missile submarine.</w:t>
      </w:r>
    </w:p>
    <w:p>
      <w:r>
        <w:rPr>
          <w:b/>
          <w:sz w:val="22"/>
        </w:rPr>
        <w:t>The uranium/nuclear fuel angle — arms race + energy transition = structural uranium demand</w:t>
      </w:r>
    </w:p>
    <w:p>
      <w:r>
        <w:t>Here's the non-obvious angle. Nuclear weapons require enriched uranium, and so does the civilian nuclear renaissance (SMR reactors for AI data centers). The treaty expiration adds a military demand layer on top of already-tight uranium supply. CCJ (Cameco) is the dominant Western uranium producer. URA (uranium ETF) provides broader exposure. The thesis: uranium supply was already in deficit before this — military demand acceleration makes the deficit worse.</w:t>
      </w:r>
    </w:p>
    <w:p>
      <w:r>
        <w:rPr>
          <w:b/>
          <w:sz w:val="22"/>
        </w:rPr>
        <w:t>The BWXT play — nuclear submarine reactors + weapons components</w:t>
      </w:r>
    </w:p>
    <w:p>
      <w:r>
        <w:t>BWX Technologies (BWXT) is the sleeper. They're the sole-source manufacturer of nuclear reactors for US Navy submarines and aircraft carriers, AND they produce key nuclear weapons components (TRIAD contract). Columbia-class submarine acceleration + potential nuclear warhead expansion = double tailwind for BWXT.</w:t>
      </w:r>
    </w:p>
    <w:p>
      <w:pPr>
        <w:jc w:val="center"/>
      </w:pPr>
      <w:r>
        <w:rPr>
          <w:b/>
          <w:color w:val="326496"/>
          <w:sz w:val="24"/>
        </w:rPr>
        <w:t>━━━━━━━━━━ 📊 Reference Data ━━━━━━━━━━</w:t>
      </w:r>
    </w:p>
    <w:p>
      <w:r>
        <w:rPr>
          <w:b/>
          <w:sz w:val="22"/>
        </w:rPr>
        <w:t>Names to watch:</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t>Ticker</w:t>
            </w:r>
          </w:p>
        </w:tc>
        <w:tc>
          <w:tcPr>
            <w:tcW w:type="dxa" w:w="1234"/>
          </w:tcPr>
          <w:p>
            <w:r>
              <w:t>Why</w:t>
            </w:r>
          </w:p>
        </w:tc>
        <w:tc>
          <w:tcPr>
            <w:tcW w:type="dxa" w:w="1234"/>
          </w:tcPr>
          <w:p>
            <w:r>
              <w:t>Direction</w:t>
            </w:r>
          </w:p>
        </w:tc>
        <w:tc>
          <w:tcPr>
            <w:tcW w:type="dxa" w:w="1234"/>
          </w:tcPr>
          <w:p>
            <w:r>
              <w:t>Magnitude</w:t>
            </w:r>
          </w:p>
        </w:tc>
        <w:tc>
          <w:tcPr>
            <w:tcW w:type="dxa" w:w="1234"/>
          </w:tcPr>
          <w:p>
            <w:r>
              <w:t>Probability</w:t>
            </w:r>
          </w:p>
        </w:tc>
        <w:tc>
          <w:tcPr>
            <w:tcW w:type="dxa" w:w="1234"/>
          </w:tcPr>
          <w:p>
            <w:r>
              <w:t>Time</w:t>
            </w:r>
          </w:p>
        </w:tc>
        <w:tc>
          <w:tcPr>
            <w:tcW w:type="dxa" w:w="1234"/>
          </w:tcPr>
          <w:p>
            <w:r>
              <w:t>Key Variable</w:t>
            </w:r>
          </w:p>
        </w:tc>
      </w:tr>
      <w:tr>
        <w:tc>
          <w:tcPr>
            <w:tcW w:type="dxa" w:w="1234"/>
          </w:tcPr>
          <w:p>
            <w:r>
              <w:t>NOC</w:t>
            </w:r>
          </w:p>
        </w:tc>
        <w:tc>
          <w:tcPr>
            <w:tcW w:type="dxa" w:w="1234"/>
          </w:tcPr>
          <w:p>
            <w:r>
              <w:t>Sentinel ICBM + B-21 — dual nuclear program lead</w:t>
            </w:r>
          </w:p>
        </w:tc>
        <w:tc>
          <w:tcPr>
            <w:tcW w:type="dxa" w:w="1234"/>
          </w:tcPr>
          <w:p>
            <w:r>
              <w:t>Bullish</w:t>
            </w:r>
          </w:p>
        </w:tc>
        <w:tc>
          <w:tcPr>
            <w:tcW w:type="dxa" w:w="1234"/>
          </w:tcPr>
          <w:p>
            <w:r>
              <w:t>+5-12%</w:t>
            </w:r>
          </w:p>
        </w:tc>
        <w:tc>
          <w:tcPr>
            <w:tcW w:type="dxa" w:w="1234"/>
          </w:tcPr>
          <w:p>
            <w:r>
              <w:t>~65%</w:t>
            </w:r>
          </w:p>
        </w:tc>
        <w:tc>
          <w:tcPr>
            <w:tcW w:type="dxa" w:w="1234"/>
          </w:tcPr>
          <w:p>
            <w:r>
              <w:t>6-24 months</w:t>
            </w:r>
          </w:p>
        </w:tc>
        <w:tc>
          <w:tcPr>
            <w:tcW w:type="dxa" w:w="1234"/>
          </w:tcPr>
          <w:p>
            <w:r>
              <w:t>FY27 nuclear modernization budget</w:t>
            </w:r>
          </w:p>
        </w:tc>
      </w:tr>
      <w:tr>
        <w:tc>
          <w:tcPr>
            <w:tcW w:type="dxa" w:w="1234"/>
          </w:tcPr>
          <w:p>
            <w:r>
              <w:t>CCJ</w:t>
            </w:r>
          </w:p>
        </w:tc>
        <w:tc>
          <w:tcPr>
            <w:tcW w:type="dxa" w:w="1234"/>
          </w:tcPr>
          <w:p>
            <w:r>
              <w:t>Uranium supply deficit + military demand layer</w:t>
            </w:r>
          </w:p>
        </w:tc>
        <w:tc>
          <w:tcPr>
            <w:tcW w:type="dxa" w:w="1234"/>
          </w:tcPr>
          <w:p>
            <w:r>
              <w:t>Bullish</w:t>
            </w:r>
          </w:p>
        </w:tc>
        <w:tc>
          <w:tcPr>
            <w:tcW w:type="dxa" w:w="1234"/>
          </w:tcPr>
          <w:p>
            <w:r>
              <w:t>+8-15%</w:t>
            </w:r>
          </w:p>
        </w:tc>
        <w:tc>
          <w:tcPr>
            <w:tcW w:type="dxa" w:w="1234"/>
          </w:tcPr>
          <w:p>
            <w:r>
              <w:t>~55%</w:t>
            </w:r>
          </w:p>
        </w:tc>
        <w:tc>
          <w:tcPr>
            <w:tcW w:type="dxa" w:w="1234"/>
          </w:tcPr>
          <w:p>
            <w:r>
              <w:t>6-18 months</w:t>
            </w:r>
          </w:p>
        </w:tc>
        <w:tc>
          <w:tcPr>
            <w:tcW w:type="dxa" w:w="1234"/>
          </w:tcPr>
          <w:p>
            <w:r>
              <w:t>Uranium spot price trajectory</w:t>
            </w:r>
          </w:p>
        </w:tc>
      </w:tr>
      <w:tr>
        <w:tc>
          <w:tcPr>
            <w:tcW w:type="dxa" w:w="1234"/>
          </w:tcPr>
          <w:p>
            <w:r>
              <w:t>BWXT</w:t>
            </w:r>
          </w:p>
        </w:tc>
        <w:tc>
          <w:tcPr>
            <w:tcW w:type="dxa" w:w="1234"/>
          </w:tcPr>
          <w:p>
            <w:r>
              <w:t>Sole-source naval reactors + weapons components</w:t>
            </w:r>
          </w:p>
        </w:tc>
        <w:tc>
          <w:tcPr>
            <w:tcW w:type="dxa" w:w="1234"/>
          </w:tcPr>
          <w:p>
            <w:r>
              <w:t>Bullish</w:t>
            </w:r>
          </w:p>
        </w:tc>
        <w:tc>
          <w:tcPr>
            <w:tcW w:type="dxa" w:w="1234"/>
          </w:tcPr>
          <w:p>
            <w:r>
              <w:t>+5-10%</w:t>
            </w:r>
          </w:p>
        </w:tc>
        <w:tc>
          <w:tcPr>
            <w:tcW w:type="dxa" w:w="1234"/>
          </w:tcPr>
          <w:p>
            <w:r>
              <w:t>~55%</w:t>
            </w:r>
          </w:p>
        </w:tc>
        <w:tc>
          <w:tcPr>
            <w:tcW w:type="dxa" w:w="1234"/>
          </w:tcPr>
          <w:p>
            <w:r>
              <w:t>6-18 months</w:t>
            </w:r>
          </w:p>
        </w:tc>
        <w:tc>
          <w:tcPr>
            <w:tcW w:type="dxa" w:w="1234"/>
          </w:tcPr>
          <w:p>
            <w:r>
              <w:t>Columbia-class timeline</w:t>
            </w:r>
          </w:p>
        </w:tc>
      </w:tr>
      <w:tr>
        <w:tc>
          <w:tcPr>
            <w:tcW w:type="dxa" w:w="1234"/>
          </w:tcPr>
          <w:p>
            <w:r>
              <w:t>GD</w:t>
            </w:r>
          </w:p>
        </w:tc>
        <w:tc>
          <w:tcPr>
            <w:tcW w:type="dxa" w:w="1234"/>
          </w:tcPr>
          <w:p>
            <w:r>
              <w:t>Columbia-class SSBN production</w:t>
            </w:r>
          </w:p>
        </w:tc>
        <w:tc>
          <w:tcPr>
            <w:tcW w:type="dxa" w:w="1234"/>
          </w:tcPr>
          <w:p>
            <w:r>
              <w:t>Bullish</w:t>
            </w:r>
          </w:p>
        </w:tc>
        <w:tc>
          <w:tcPr>
            <w:tcW w:type="dxa" w:w="1234"/>
          </w:tcPr>
          <w:p>
            <w:r>
              <w:t>+3-7%</w:t>
            </w:r>
          </w:p>
        </w:tc>
        <w:tc>
          <w:tcPr>
            <w:tcW w:type="dxa" w:w="1234"/>
          </w:tcPr>
          <w:p>
            <w:r>
              <w:t>~60%</w:t>
            </w:r>
          </w:p>
        </w:tc>
        <w:tc>
          <w:tcPr>
            <w:tcW w:type="dxa" w:w="1234"/>
          </w:tcPr>
          <w:p>
            <w:r>
              <w:t>12-36 months</w:t>
            </w:r>
          </w:p>
        </w:tc>
        <w:tc>
          <w:tcPr>
            <w:tcW w:type="dxa" w:w="1234"/>
          </w:tcPr>
          <w:p>
            <w:r>
              <w:t>Submarine delivery schedule</w:t>
            </w:r>
          </w:p>
        </w:tc>
      </w:tr>
    </w:tbl>
    <w:p>
      <w:r/>
      <w:r>
        <w:rPr>
          <w:b/>
        </w:rPr>
        <w:t>Key Catalysts:</w:t>
      </w:r>
      <w:r>
        <w:t xml:space="preserve"> FY2027 defense budget nuclear modernization line items (spring 2026), NNSA (National Nuclear Security Administration) budget proposal, Sentinel ICBM program milestone reviews (ongoing), uranium spot price ($85+/lb signals tightness).</w:t>
      </w:r>
    </w:p>
    <w:p>
      <w:r/>
      <w:r>
        <w:rPr>
          <w:b/>
        </w:rPr>
        <w:t>Key Sensitivity:</w:t>
      </w:r>
      <w:r>
        <w:t xml:space="preserve"> This thesis hinges on whether the treaty expiration leads to actual nuclear modernization acceleration (budget increases) or whether the resumed military communication channels lead to a successor framework. The paradox: resumed communication could eventually produce a new treaty, which would cap the thesis.</w:t>
      </w:r>
    </w:p>
    <w:p>
      <w:r/>
      <w:r>
        <w:rPr>
          <w:b/>
        </w:rPr>
        <w:t>Kill Condition:</w:t>
      </w:r>
      <w:r>
        <w:t xml:space="preserve"> If US-Russia agree to a New START successor framework within 6 months, the unconstrained expansion thesis collapses. If FY2027 nuclear modernization budget growth is &lt;5% real, the market isn't pricing in acceleration.</w:t>
      </w:r>
    </w:p>
    <w:p>
      <w:r/>
      <w:r>
        <w:rPr>
          <w:b/>
        </w:rPr>
        <w:t>Base Rate:</w:t>
      </w:r>
      <w:r>
        <w:t xml:space="preserve"> No direct historical precedent for New START expiration specifically. But the end of the INF Treaty (2019) preceded a 10-15% run in defense stocks with nuclear exposure over the following 12 months. Nuclear modernization programs historically survive political cycles due to bipartisan support.</w:t>
      </w:r>
    </w:p>
    <w:p>
      <w:r/>
      <w:r>
        <w:rPr>
          <w:b/>
        </w:rPr>
        <w:t>Net-net:</w:t>
      </w:r>
      <w:r>
        <w:t xml:space="preserve"> The "Nuclear Orphan Trade" — NOC is the highest-conviction play (dual ICBM + bomber program), CCJ is the non-consensus uranium angle (military + civilian demand convergence). Walk away if US-Russia announce a successor arms control framework.</w:t>
      </w:r>
    </w:p>
    <w:p>
      <w:r>
        <w:t>This is a causal reasoning exercise — not investment advice. Always do your own due diligence.</w:t>
      </w:r>
    </w:p>
    <w:p>
      <w:r>
        <w:br w:type="page"/>
      </w:r>
    </w:p>
    <w:p>
      <w:pPr>
        <w:pStyle w:val="Heading1"/>
      </w:pPr>
      <w:r>
        <w:t>Event 8: 苏丹内冲突加剧</w:t>
      </w:r>
    </w:p>
    <w:p>
      <w:r>
        <w:t>苏丹内冲突加剧</w:t>
      </w:r>
    </w:p>
    <w:p>
      <w:r>
        <w:rPr>
          <w:b/>
          <w:color w:val="00468C"/>
          <w:sz w:val="22"/>
        </w:rPr>
        <w:t xml:space="preserve">User input: </w:t>
      </w:r>
      <w:r>
        <w:rPr>
          <w:sz w:val="22"/>
        </w:rPr>
        <w:t>快速支援部队在本周多起无人机袭击中造成数十名平民死亡，包括儿童和人道车队遇袭。买什么美国标的好？</w:t>
      </w:r>
    </w:p>
    <w:p>
      <w:r>
        <w:rPr>
          <w:color w:val="505050"/>
          <w:sz w:val="20"/>
        </w:rPr>
      </w:r>
      <w:r>
        <w:rPr>
          <w:b/>
          <w:color w:val="505050"/>
          <w:sz w:val="20"/>
        </w:rPr>
        <w:t>[Step 0] Classification:</w:t>
      </w:r>
      <w:r>
        <w:rPr>
          <w:color w:val="505050"/>
          <w:sz w:val="20"/>
        </w:rPr>
        <w:t xml:space="preserve"> `geopolitical` (regional conflict — Sudan) · `needs_verification = TRUE` (this week + named entity RSF)</w:t>
      </w:r>
    </w:p>
    <w:p>
      <w:r>
        <w:rPr>
          <w:color w:val="505050"/>
          <w:sz w:val="20"/>
        </w:rPr>
      </w:r>
      <w:r>
        <w:rPr>
          <w:b/>
          <w:color w:val="505050"/>
          <w:sz w:val="20"/>
        </w:rPr>
        <w:t>[Step 0.5] Verification:</w:t>
      </w:r>
      <w:r>
        <w:rPr>
          <w:color w:val="505050"/>
          <w:sz w:val="20"/>
        </w:rPr>
        <w:t xml:space="preserve"> CONFIRMED — RSF drone attacks in Sudan this week caused civilian casualties including children and humanitarian convoy attacks.</w:t>
      </w:r>
    </w:p>
    <w:p>
      <w:pPr>
        <w:pStyle w:val="Heading3"/>
      </w:pPr>
      <w:r>
        <w:t>Mr.IF Response:</w:t>
      </w:r>
    </w:p>
    <w:p>
      <w:r>
        <w:t>I'll be direct: Sudan's civil conflict has essentially zero transmission mechanism to US equities. Sudan isn't a significant player in any commodity supply chain that matters to US companies, there's no major trade route disruption, and US corporate exposure to Sudan is negligible. If you must have an investment angle, the only marginally defensible play is GLD as a broad geopolitical uncertainty hedge — but even that is a stretch given how many other, larger geopolitical risks are already in gold's pricing.</w:t>
      </w:r>
    </w:p>
    <w:p>
      <w:r/>
      <w:r>
        <w:rPr>
          <w:b/>
        </w:rPr>
        <w:t>Top picks:</w:t>
      </w:r>
      <w:r>
        <w:t xml:space="preserve"> GLD (weak conviction) — this is the only play, and it's a stretch.</w:t>
      </w:r>
    </w:p>
    <w:p>
      <w:r>
        <w:rPr>
          <w:b/>
          <w:sz w:val="22"/>
        </w:rPr>
        <w:t>The honest assessment — why this doesn't move US markets</w:t>
      </w:r>
    </w:p>
    <w:p>
      <w:r>
        <w:t>Sudan accounts for &lt;0.1% of global trade. Its gold production (~80 tonnes/year) is largely artisanal and not integrated into global supply chains. There's no oil chokepoint, no semiconductor dependency, no major shipping lane at risk. The RSF-SAF conflict is a humanitarian catastrophe, but it's not a financial catalyst for US equities. I'd rather be honest about this than manufacture a chain that doesn't hold up.</w:t>
      </w:r>
    </w:p>
    <w:p>
      <w:r>
        <w:rPr>
          <w:b/>
          <w:sz w:val="22"/>
        </w:rPr>
        <w:t>The only angle — broad geopolitical risk accumulation</w:t>
      </w:r>
    </w:p>
    <w:p>
      <w:r>
        <w:t>If you're tracking a "global instability index" — Sudan, Ukraine, Gaza, Pakistan — the cumulative weight of simultaneous conflicts could theoretically support safe haven flows into GLD and TLT. But this is a portfolio-level macro thesis, not a Sudan-specific trade.</w:t>
      </w:r>
    </w:p>
    <w:p>
      <w:pPr>
        <w:jc w:val="center"/>
      </w:pPr>
      <w:r>
        <w:rPr>
          <w:b/>
          <w:color w:val="326496"/>
          <w:sz w:val="24"/>
        </w:rPr>
        <w:t>━━━━━━━━━━ 📊 Reference Data ━━━━━━━━━━</w:t>
      </w:r>
    </w:p>
    <w:p>
      <w:r>
        <w:rPr>
          <w:b/>
          <w:sz w:val="22"/>
        </w:rPr>
        <w:t>Names to watch:</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t>Ticker</w:t>
            </w:r>
          </w:p>
        </w:tc>
        <w:tc>
          <w:tcPr>
            <w:tcW w:type="dxa" w:w="1234"/>
          </w:tcPr>
          <w:p>
            <w:r>
              <w:t>Why</w:t>
            </w:r>
          </w:p>
        </w:tc>
        <w:tc>
          <w:tcPr>
            <w:tcW w:type="dxa" w:w="1234"/>
          </w:tcPr>
          <w:p>
            <w:r>
              <w:t>Direction</w:t>
            </w:r>
          </w:p>
        </w:tc>
        <w:tc>
          <w:tcPr>
            <w:tcW w:type="dxa" w:w="1234"/>
          </w:tcPr>
          <w:p>
            <w:r>
              <w:t>Magnitude</w:t>
            </w:r>
          </w:p>
        </w:tc>
        <w:tc>
          <w:tcPr>
            <w:tcW w:type="dxa" w:w="1234"/>
          </w:tcPr>
          <w:p>
            <w:r>
              <w:t>Probability</w:t>
            </w:r>
          </w:p>
        </w:tc>
        <w:tc>
          <w:tcPr>
            <w:tcW w:type="dxa" w:w="1234"/>
          </w:tcPr>
          <w:p>
            <w:r>
              <w:t>Time</w:t>
            </w:r>
          </w:p>
        </w:tc>
        <w:tc>
          <w:tcPr>
            <w:tcW w:type="dxa" w:w="1234"/>
          </w:tcPr>
          <w:p>
            <w:r>
              <w:t>Key Variable</w:t>
            </w:r>
          </w:p>
        </w:tc>
      </w:tr>
      <w:tr>
        <w:tc>
          <w:tcPr>
            <w:tcW w:type="dxa" w:w="1234"/>
          </w:tcPr>
          <w:p>
            <w:r>
              <w:t>GLD</w:t>
            </w:r>
          </w:p>
        </w:tc>
        <w:tc>
          <w:tcPr>
            <w:tcW w:type="dxa" w:w="1234"/>
          </w:tcPr>
          <w:p>
            <w:r>
              <w:t>Broad geopolitical uncertainty hedge</w:t>
            </w:r>
          </w:p>
        </w:tc>
        <w:tc>
          <w:tcPr>
            <w:tcW w:type="dxa" w:w="1234"/>
          </w:tcPr>
          <w:p>
            <w:r>
              <w:t>Bullish</w:t>
            </w:r>
          </w:p>
        </w:tc>
        <w:tc>
          <w:tcPr>
            <w:tcW w:type="dxa" w:w="1234"/>
          </w:tcPr>
          <w:p>
            <w:r>
              <w:t>+1-3%</w:t>
            </w:r>
          </w:p>
        </w:tc>
        <w:tc>
          <w:tcPr>
            <w:tcW w:type="dxa" w:w="1234"/>
          </w:tcPr>
          <w:p>
            <w:r>
              <w:t>~30%</w:t>
            </w:r>
          </w:p>
        </w:tc>
        <w:tc>
          <w:tcPr>
            <w:tcW w:type="dxa" w:w="1234"/>
          </w:tcPr>
          <w:p>
            <w:r>
              <w:t>Ongoing</w:t>
            </w:r>
          </w:p>
        </w:tc>
        <w:tc>
          <w:tcPr>
            <w:tcW w:type="dxa" w:w="1234"/>
          </w:tcPr>
          <w:p>
            <w:r>
              <w:t>Cumulative conflict count</w:t>
            </w:r>
          </w:p>
        </w:tc>
      </w:tr>
    </w:tbl>
    <w:p>
      <w:r/>
      <w:r>
        <w:rPr>
          <w:b/>
        </w:rPr>
        <w:t>Key Catalysts:</w:t>
      </w:r>
      <w:r>
        <w:t xml:space="preserve"> UN Security Council action on Sudan (if any), humanitarian corridor negotiations, broader Middle East/Africa instability spillover.</w:t>
      </w:r>
    </w:p>
    <w:p>
      <w:r/>
      <w:r>
        <w:rPr>
          <w:b/>
        </w:rPr>
        <w:t>Key Sensitivity:</w:t>
      </w:r>
      <w:r>
        <w:t xml:space="preserve"> This thesis barely exists. The only variable that matters is whether Sudan's conflict escalates to involve regional powers (Egypt, Ethiopia) in a way that disrupts the Nile water basin or Red Sea shipping. Currently, that risk is very low.</w:t>
      </w:r>
    </w:p>
    <w:p>
      <w:r/>
      <w:r>
        <w:rPr>
          <w:b/>
        </w:rPr>
        <w:t>Kill Condition:</w:t>
      </w:r>
      <w:r>
        <w:t xml:space="preserve"> There's no real thesis to kill. If you're holding GLD on geopolitical grounds, the kill condition is a broad de-escalation across all major conflict zones simultaneously.</w:t>
      </w:r>
    </w:p>
    <w:p>
      <w:r/>
      <w:r>
        <w:rPr>
          <w:b/>
        </w:rPr>
        <w:t>Base Rate:</w:t>
      </w:r>
      <w:r>
        <w:t xml:space="preserve"> Isolated African civil conflicts have historically had zero measurable impact on US equity indices. Even the 2011 Libyan civil war (which directly disrupted oil supply) moved WTI only ~15% and had no lasting S&amp;P 500 impact.</w:t>
      </w:r>
    </w:p>
    <w:p>
      <w:r/>
      <w:r>
        <w:rPr>
          <w:b/>
        </w:rPr>
        <w:t>Net-net:</w:t>
      </w:r>
      <w:r>
        <w:t xml:space="preserve"> Frankly, this is one of the weakest events for US equity positioning. GLD as a broad hedge is the only marginally defensible play. If you're looking for action, there are better catalysts elsewhere on your watchlist. Walk away from trying to trade Sudan specifically — the transmission mechanism simply doesn't exist.</w:t>
      </w:r>
    </w:p>
    <w:p>
      <w:r>
        <w:t>This is a causal reasoning exercise — not investment advice. Always do your own due diligence.</w:t>
      </w:r>
    </w:p>
    <w:p>
      <w:r>
        <w:br w:type="page"/>
      </w:r>
    </w:p>
    <w:p>
      <w:pPr>
        <w:pStyle w:val="Heading1"/>
      </w:pPr>
      <w:r>
        <w:t>Event 9: Epstein丑闻余波</w:t>
      </w:r>
    </w:p>
    <w:p>
      <w:r>
        <w:t>Epstein丑闻余波</w:t>
      </w:r>
    </w:p>
    <w:p>
      <w:r>
        <w:rPr>
          <w:b/>
          <w:color w:val="00468C"/>
          <w:sz w:val="22"/>
        </w:rPr>
        <w:t xml:space="preserve">User input: </w:t>
      </w:r>
      <w:r>
        <w:rPr>
          <w:sz w:val="22"/>
        </w:rPr>
        <w:t>Epstein相关文件曝光导致英国政要Peter Mandelson等多位人士辞职或被调查。买什么美国标的好？</w:t>
      </w:r>
    </w:p>
    <w:p>
      <w:r>
        <w:rPr>
          <w:color w:val="505050"/>
          <w:sz w:val="20"/>
        </w:rPr>
      </w:r>
      <w:r>
        <w:rPr>
          <w:b/>
          <w:color w:val="505050"/>
          <w:sz w:val="20"/>
        </w:rPr>
        <w:t>[Step 0] Classification:</w:t>
      </w:r>
      <w:r>
        <w:rPr>
          <w:color w:val="505050"/>
          <w:sz w:val="20"/>
        </w:rPr>
        <w:t xml:space="preserve"> `social` (scandal → political/sentiment impact) · `needs_verification = TRUE` (named entity + action)</w:t>
      </w:r>
    </w:p>
    <w:p>
      <w:r>
        <w:rPr>
          <w:color w:val="505050"/>
          <w:sz w:val="20"/>
        </w:rPr>
      </w:r>
      <w:r>
        <w:rPr>
          <w:b/>
          <w:color w:val="505050"/>
          <w:sz w:val="20"/>
        </w:rPr>
        <w:t>[Step 0.5] Verification:</w:t>
      </w:r>
      <w:r>
        <w:rPr>
          <w:color w:val="505050"/>
          <w:sz w:val="20"/>
        </w:rPr>
        <w:t xml:space="preserve"> CONFIRMED — Epstein-related documents led to Peter Mandelson and others facing investigations/resignations.</w:t>
      </w:r>
    </w:p>
    <w:p>
      <w:pPr>
        <w:pStyle w:val="Heading3"/>
      </w:pPr>
      <w:r>
        <w:t>Mr.IF Response:</w:t>
      </w:r>
    </w:p>
    <w:p>
      <w:r>
        <w:t>The Epstein scandal is primarily a political and social story, not a financial one. The direct US equity impact is negligible — no company's revenues are linked to this. However, there are two second-order angles worth considering: the media/content companies that monetize scandal-driven attention, and the compliance/legal tech companies that benefit from regulatory tightening around financial institutions connected to Epstein.</w:t>
      </w:r>
    </w:p>
    <w:p>
      <w:r/>
      <w:r>
        <w:rPr>
          <w:b/>
        </w:rPr>
        <w:t>Top picks:</w:t>
      </w:r>
      <w:r>
        <w:t xml:space="preserve"> NYT &gt; MSFT (LinkedIn/compliance) — both are weak conviction on this specific catalyst.</w:t>
      </w:r>
    </w:p>
    <w:p>
      <w:r>
        <w:rPr>
          <w:b/>
          <w:sz w:val="22"/>
        </w:rPr>
        <w:t>The attention economy — scandal drives subscriptions and engagement</w:t>
      </w:r>
    </w:p>
    <w:p>
      <w:r>
        <w:t>Major scandal cycles historically boost media engagement metrics. NYT, NFLX (if they produce a documentary), and podcast platforms see elevated engagement. But let's be real: the magnitude is tiny. NYT might see a subscriber micro-bump, but Epstein news isn't a sustained subscription driver. This is noise, not signal.</w:t>
      </w:r>
    </w:p>
    <w:p>
      <w:r>
        <w:rPr>
          <w:b/>
          <w:sz w:val="22"/>
        </w:rPr>
        <w:t>The compliance/regulatory angle — financial institution scrutiny → RegTech</w:t>
      </w:r>
    </w:p>
    <w:p>
      <w:r>
        <w:t>The more interesting (but slower) angle: Epstein's network involved major financial institutions (JPMorgan settled for $290M in 2023, Deutsche Bank for $75M). New document releases could trigger additional regulatory scrutiny of financial institutions' client due diligence practices. The beneficiaries would be RegTech/compliance software — NICE (NICE Ltd), Verint (VRNT), or within larger platforms like MSFT (LinkedIn compliance tools). But this is speculative and depends on whether new institutional connections are revealed.</w:t>
      </w:r>
    </w:p>
    <w:p>
      <w:r>
        <w:rPr>
          <w:b/>
          <w:sz w:val="22"/>
        </w:rPr>
        <w:t>What I would NOT do</w:t>
      </w:r>
    </w:p>
    <w:p>
      <w:r>
        <w:t>Don't short any specific financial institution on Epstein headlines. The JPM/DB settlements already happened. Unless new, material institutional exposure is revealed in these documents, the legal/financial risk for named institutions is already priced in.</w:t>
      </w:r>
    </w:p>
    <w:p>
      <w:pPr>
        <w:jc w:val="center"/>
      </w:pPr>
      <w:r>
        <w:rPr>
          <w:b/>
          <w:color w:val="326496"/>
          <w:sz w:val="24"/>
        </w:rPr>
        <w:t>━━━━━━━━━━ 📊 Reference Data ━━━━━━━━━━</w:t>
      </w:r>
    </w:p>
    <w:p>
      <w:r>
        <w:rPr>
          <w:b/>
          <w:sz w:val="22"/>
        </w:rPr>
        <w:t>Names to watch:</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t>Ticker</w:t>
            </w:r>
          </w:p>
        </w:tc>
        <w:tc>
          <w:tcPr>
            <w:tcW w:type="dxa" w:w="1234"/>
          </w:tcPr>
          <w:p>
            <w:r>
              <w:t>Why</w:t>
            </w:r>
          </w:p>
        </w:tc>
        <w:tc>
          <w:tcPr>
            <w:tcW w:type="dxa" w:w="1234"/>
          </w:tcPr>
          <w:p>
            <w:r>
              <w:t>Direction</w:t>
            </w:r>
          </w:p>
        </w:tc>
        <w:tc>
          <w:tcPr>
            <w:tcW w:type="dxa" w:w="1234"/>
          </w:tcPr>
          <w:p>
            <w:r>
              <w:t>Magnitude</w:t>
            </w:r>
          </w:p>
        </w:tc>
        <w:tc>
          <w:tcPr>
            <w:tcW w:type="dxa" w:w="1234"/>
          </w:tcPr>
          <w:p>
            <w:r>
              <w:t>Probability</w:t>
            </w:r>
          </w:p>
        </w:tc>
        <w:tc>
          <w:tcPr>
            <w:tcW w:type="dxa" w:w="1234"/>
          </w:tcPr>
          <w:p>
            <w:r>
              <w:t>Time</w:t>
            </w:r>
          </w:p>
        </w:tc>
        <w:tc>
          <w:tcPr>
            <w:tcW w:type="dxa" w:w="1234"/>
          </w:tcPr>
          <w:p>
            <w:r>
              <w:t>Key Variable</w:t>
            </w:r>
          </w:p>
        </w:tc>
      </w:tr>
      <w:tr>
        <w:tc>
          <w:tcPr>
            <w:tcW w:type="dxa" w:w="1234"/>
          </w:tcPr>
          <w:p>
            <w:r>
              <w:t>NYT</w:t>
            </w:r>
          </w:p>
        </w:tc>
        <w:tc>
          <w:tcPr>
            <w:tcW w:type="dxa" w:w="1234"/>
          </w:tcPr>
          <w:p>
            <w:r>
              <w:t>Scandal-driven engagement boost</w:t>
            </w:r>
          </w:p>
        </w:tc>
        <w:tc>
          <w:tcPr>
            <w:tcW w:type="dxa" w:w="1234"/>
          </w:tcPr>
          <w:p>
            <w:r>
              <w:t>Bullish</w:t>
            </w:r>
          </w:p>
        </w:tc>
        <w:tc>
          <w:tcPr>
            <w:tcW w:type="dxa" w:w="1234"/>
          </w:tcPr>
          <w:p>
            <w:r>
              <w:t>+1-2%</w:t>
            </w:r>
          </w:p>
        </w:tc>
        <w:tc>
          <w:tcPr>
            <w:tcW w:type="dxa" w:w="1234"/>
          </w:tcPr>
          <w:p>
            <w:r>
              <w:t>~35%</w:t>
            </w:r>
          </w:p>
        </w:tc>
        <w:tc>
          <w:tcPr>
            <w:tcW w:type="dxa" w:w="1234"/>
          </w:tcPr>
          <w:p>
            <w:r>
              <w:t>1-2 months</w:t>
            </w:r>
          </w:p>
        </w:tc>
        <w:tc>
          <w:tcPr>
            <w:tcW w:type="dxa" w:w="1234"/>
          </w:tcPr>
          <w:p>
            <w:r>
              <w:t>Engagement metrics</w:t>
            </w:r>
          </w:p>
        </w:tc>
      </w:tr>
      <w:tr>
        <w:tc>
          <w:tcPr>
            <w:tcW w:type="dxa" w:w="1234"/>
          </w:tcPr>
          <w:p>
            <w:r>
              <w:t>NICE</w:t>
            </w:r>
          </w:p>
        </w:tc>
        <w:tc>
          <w:tcPr>
            <w:tcW w:type="dxa" w:w="1234"/>
          </w:tcPr>
          <w:p>
            <w:r>
              <w:t>RegTech/compliance if regulatory scrutiny increases</w:t>
            </w:r>
          </w:p>
        </w:tc>
        <w:tc>
          <w:tcPr>
            <w:tcW w:type="dxa" w:w="1234"/>
          </w:tcPr>
          <w:p>
            <w:r>
              <w:t>Bullish</w:t>
            </w:r>
          </w:p>
        </w:tc>
        <w:tc>
          <w:tcPr>
            <w:tcW w:type="dxa" w:w="1234"/>
          </w:tcPr>
          <w:p>
            <w:r>
              <w:t>+2-5%</w:t>
            </w:r>
          </w:p>
        </w:tc>
        <w:tc>
          <w:tcPr>
            <w:tcW w:type="dxa" w:w="1234"/>
          </w:tcPr>
          <w:p>
            <w:r>
              <w:t>~30%</w:t>
            </w:r>
          </w:p>
        </w:tc>
        <w:tc>
          <w:tcPr>
            <w:tcW w:type="dxa" w:w="1234"/>
          </w:tcPr>
          <w:p>
            <w:r>
              <w:t>6-12 months</w:t>
            </w:r>
          </w:p>
        </w:tc>
        <w:tc>
          <w:tcPr>
            <w:tcW w:type="dxa" w:w="1234"/>
          </w:tcPr>
          <w:p>
            <w:r>
              <w:t>New institutional revelations</w:t>
            </w:r>
          </w:p>
        </w:tc>
      </w:tr>
    </w:tbl>
    <w:p>
      <w:r/>
      <w:r>
        <w:rPr>
          <w:b/>
        </w:rPr>
        <w:t>Key Catalysts:</w:t>
      </w:r>
      <w:r>
        <w:t xml:space="preserve"> Document release schedule (court-ordered), congressional hearings (if called), new institutional names in documents, regulatory enforcement actions.</w:t>
      </w:r>
    </w:p>
    <w:p>
      <w:r/>
      <w:r>
        <w:rPr>
          <w:b/>
        </w:rPr>
        <w:t>Key Sensitivity:</w:t>
      </w:r>
      <w:r>
        <w:t xml:space="preserve"> This entire analysis hinges on whether the new documents reveal meaningful new institutional connections (banks, hedge funds, corporations). If it's only political figures, the US equity impact is essentially zero.</w:t>
      </w:r>
    </w:p>
    <w:p>
      <w:r/>
      <w:r>
        <w:rPr>
          <w:b/>
        </w:rPr>
        <w:t>Kill Condition:</w:t>
      </w:r>
      <w:r>
        <w:t xml:space="preserve"> If document releases reveal no new institutional financial connections beyond what's already known (JPM, DB), exit any Epstein-related thesis entirely. The trade doesn't exist without new corporate exposure.</w:t>
      </w:r>
    </w:p>
    <w:p>
      <w:r/>
      <w:r>
        <w:rPr>
          <w:b/>
        </w:rPr>
        <w:t>Base Rate:</w:t>
      </w:r>
      <w:r>
        <w:t xml:space="preserve"> Previous Epstein document releases (2023-2024) had zero measurable impact on US equity indices. JPM's stock actually rose 15% in the 12 months following its $290M settlement as the overhang was removed.</w:t>
      </w:r>
    </w:p>
    <w:p>
      <w:r/>
      <w:r>
        <w:rPr>
          <w:b/>
        </w:rPr>
        <w:t>Net-net:</w:t>
      </w:r>
      <w:r>
        <w:t xml:space="preserve"> The Epstein scandal is a political story, not a financial one. Unless new documents reveal significant unreported institutional connections, there's no US equity trade here. The only positions worth monitoring are NYT (attention economy) and RegTech names — and even those are low conviction. Park this one and watch for new institutional names in the documents.</w:t>
      </w:r>
    </w:p>
    <w:p>
      <w:r>
        <w:t>This is a causal reasoning exercise — not investment advice. Always do your own due diligence.</w:t>
      </w:r>
    </w:p>
    <w:p>
      <w:r>
        <w:br w:type="page"/>
      </w:r>
    </w:p>
    <w:p>
      <w:pPr>
        <w:pStyle w:val="Heading1"/>
      </w:pPr>
      <w:r>
        <w:t>Event 10: 多起重大交通灾难</w:t>
      </w:r>
    </w:p>
    <w:p>
      <w:r>
        <w:t>多起重大交通灾难</w:t>
      </w:r>
    </w:p>
    <w:p>
      <w:r>
        <w:rPr>
          <w:b/>
          <w:color w:val="00468C"/>
          <w:sz w:val="22"/>
        </w:rPr>
        <w:t xml:space="preserve">User input: </w:t>
      </w:r>
      <w:r>
        <w:rPr>
          <w:sz w:val="22"/>
        </w:rPr>
        <w:t>本周全球发生多起严重事故，包括巴西公交车祸致16死、尼泊尔公交坠崖致13死等，引发对交通安全的广泛讨论。买什么美国标的好？</w:t>
      </w:r>
    </w:p>
    <w:p>
      <w:r>
        <w:rPr>
          <w:color w:val="505050"/>
          <w:sz w:val="20"/>
        </w:rPr>
      </w:r>
      <w:r>
        <w:rPr>
          <w:b/>
          <w:color w:val="505050"/>
          <w:sz w:val="20"/>
        </w:rPr>
        <w:t>[Step 0] Classification:</w:t>
      </w:r>
      <w:r>
        <w:rPr>
          <w:color w:val="505050"/>
          <w:sz w:val="20"/>
        </w:rPr>
        <w:t xml:space="preserve"> `nature` (transportation disasters → infrastructure/safety) · `needs_verification = TRUE` (this week + specific numbers)</w:t>
      </w:r>
    </w:p>
    <w:p>
      <w:r>
        <w:rPr>
          <w:color w:val="505050"/>
          <w:sz w:val="20"/>
        </w:rPr>
      </w:r>
      <w:r>
        <w:rPr>
          <w:b/>
          <w:color w:val="505050"/>
          <w:sz w:val="20"/>
        </w:rPr>
        <w:t>[Step 0.5] Verification:</w:t>
      </w:r>
      <w:r>
        <w:rPr>
          <w:color w:val="505050"/>
          <w:sz w:val="20"/>
        </w:rPr>
        <w:t xml:space="preserve"> CONFIRMED — Brazil bus crash (16 dead) and Nepal bus accident (13 dead) confirmed this week.</w:t>
      </w:r>
    </w:p>
    <w:p>
      <w:pPr>
        <w:pStyle w:val="Heading3"/>
      </w:pPr>
      <w:r>
        <w:t>Mr.IF Response:</w:t>
      </w:r>
    </w:p>
    <w:p>
      <w:r>
        <w:t>Let me level with you — this is the weakest event on the list for US equity positioning. Multiple unrelated bus accidents in developing countries have no causal mechanism to move US stocks. There's no common cause (it's not a product defect recall), no US company exposure, and no regulatory catalyst. That said, if you're looking for a long-term thematic play on transportation safety technology, autonomous driving and fleet safety tech are real secular trends — but they're driven by technology curves and regulation, not by individual accidents.</w:t>
      </w:r>
    </w:p>
    <w:p>
      <w:r/>
      <w:r>
        <w:rPr>
          <w:b/>
        </w:rPr>
        <w:t>Top picks:</w:t>
      </w:r>
      <w:r>
        <w:t xml:space="preserve"> TSLA &gt; GNTX — only as long-term thematic, NOT event-driven.</w:t>
      </w:r>
    </w:p>
    <w:p>
      <w:r>
        <w:rPr>
          <w:b/>
          <w:sz w:val="22"/>
        </w:rPr>
        <w:t>The honest assessment — no event-driven trade exists here</w:t>
      </w:r>
    </w:p>
    <w:p>
      <w:r>
        <w:t>Bus accidents in Brazil and Nepal are tragic but financially isolated events. There's no shared manufacturer to short, no common technology failure to trace, no insurance contagion (these are local insurers, not US-listed reinsurers), and no US regulatory response triggered by foreign bus accidents. Trying to build a causal chain here would be intellectual dishonesty.</w:t>
      </w:r>
    </w:p>
    <w:p>
      <w:r>
        <w:rPr>
          <w:b/>
          <w:sz w:val="22"/>
        </w:rPr>
        <w:t>The long-term thematic — autonomous driving + fleet safety as secular trends</w:t>
      </w:r>
    </w:p>
    <w:p>
      <w:r>
        <w:t>If these accidents contribute to a broader public discourse around transportation safety (and they might, given the media attention), the beneficiaries are companies building autonomous driving technology and fleet safety systems. TSLA's FSD (Full Self-Driving) and Waymo (GOOGL) are the autonomous leaders. GNTX (Gentex — auto-dimming mirrors, advanced driver assistance) and APTV (Aptiv — vehicle safety systems) are the component suppliers. Mobileye (MBLY) provides the ADAS chips. But let me be clear: these are 5-10 year secular technology investments, not trades you put on because of a bus crash.</w:t>
      </w:r>
    </w:p>
    <w:p>
      <w:pPr>
        <w:jc w:val="center"/>
      </w:pPr>
      <w:r>
        <w:rPr>
          <w:b/>
          <w:color w:val="326496"/>
          <w:sz w:val="24"/>
        </w:rPr>
        <w:t>━━━━━━━━━━ 📊 Reference Data ━━━━━━━━━━</w:t>
      </w:r>
    </w:p>
    <w:p>
      <w:r>
        <w:rPr>
          <w:b/>
          <w:sz w:val="22"/>
        </w:rPr>
        <w:t>Names to watch:</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t>Ticker</w:t>
            </w:r>
          </w:p>
        </w:tc>
        <w:tc>
          <w:tcPr>
            <w:tcW w:type="dxa" w:w="1234"/>
          </w:tcPr>
          <w:p>
            <w:r>
              <w:t>Why</w:t>
            </w:r>
          </w:p>
        </w:tc>
        <w:tc>
          <w:tcPr>
            <w:tcW w:type="dxa" w:w="1234"/>
          </w:tcPr>
          <w:p>
            <w:r>
              <w:t>Direction</w:t>
            </w:r>
          </w:p>
        </w:tc>
        <w:tc>
          <w:tcPr>
            <w:tcW w:type="dxa" w:w="1234"/>
          </w:tcPr>
          <w:p>
            <w:r>
              <w:t>Magnitude</w:t>
            </w:r>
          </w:p>
        </w:tc>
        <w:tc>
          <w:tcPr>
            <w:tcW w:type="dxa" w:w="1234"/>
          </w:tcPr>
          <w:p>
            <w:r>
              <w:t>Probability</w:t>
            </w:r>
          </w:p>
        </w:tc>
        <w:tc>
          <w:tcPr>
            <w:tcW w:type="dxa" w:w="1234"/>
          </w:tcPr>
          <w:p>
            <w:r>
              <w:t>Time</w:t>
            </w:r>
          </w:p>
        </w:tc>
        <w:tc>
          <w:tcPr>
            <w:tcW w:type="dxa" w:w="1234"/>
          </w:tcPr>
          <w:p>
            <w:r>
              <w:t>Key Variable</w:t>
            </w:r>
          </w:p>
        </w:tc>
      </w:tr>
      <w:tr>
        <w:tc>
          <w:tcPr>
            <w:tcW w:type="dxa" w:w="1234"/>
          </w:tcPr>
          <w:p>
            <w:r>
              <w:t>TSLA</w:t>
            </w:r>
          </w:p>
        </w:tc>
        <w:tc>
          <w:tcPr>
            <w:tcW w:type="dxa" w:w="1234"/>
          </w:tcPr>
          <w:p>
            <w:r>
              <w:t>FSD — autonomous driving leader (long-term thematic)</w:t>
            </w:r>
          </w:p>
        </w:tc>
        <w:tc>
          <w:tcPr>
            <w:tcW w:type="dxa" w:w="1234"/>
          </w:tcPr>
          <w:p>
            <w:r>
              <w:t>Bullish</w:t>
            </w:r>
          </w:p>
        </w:tc>
        <w:tc>
          <w:tcPr>
            <w:tcW w:type="dxa" w:w="1234"/>
          </w:tcPr>
          <w:p>
            <w:r>
              <w:t>N/A (secular)</w:t>
            </w:r>
          </w:p>
        </w:tc>
        <w:tc>
          <w:tcPr>
            <w:tcW w:type="dxa" w:w="1234"/>
          </w:tcPr>
          <w:p>
            <w:r>
              <w:t>N/A</w:t>
            </w:r>
          </w:p>
        </w:tc>
        <w:tc>
          <w:tcPr>
            <w:tcW w:type="dxa" w:w="1234"/>
          </w:tcPr>
          <w:p>
            <w:r>
              <w:t>Years</w:t>
            </w:r>
          </w:p>
        </w:tc>
        <w:tc>
          <w:tcPr>
            <w:tcW w:type="dxa" w:w="1234"/>
          </w:tcPr>
          <w:p>
            <w:r>
              <w:t>FSD regulatory approval</w:t>
            </w:r>
          </w:p>
        </w:tc>
      </w:tr>
      <w:tr>
        <w:tc>
          <w:tcPr>
            <w:tcW w:type="dxa" w:w="1234"/>
          </w:tcPr>
          <w:p>
            <w:r>
              <w:t>MBLY</w:t>
            </w:r>
          </w:p>
        </w:tc>
        <w:tc>
          <w:tcPr>
            <w:tcW w:type="dxa" w:w="1234"/>
          </w:tcPr>
          <w:p>
            <w:r>
              <w:t>Mobileye ADAS chips — safety technology supplier</w:t>
            </w:r>
          </w:p>
        </w:tc>
        <w:tc>
          <w:tcPr>
            <w:tcW w:type="dxa" w:w="1234"/>
          </w:tcPr>
          <w:p>
            <w:r>
              <w:t>Bullish</w:t>
            </w:r>
          </w:p>
        </w:tc>
        <w:tc>
          <w:tcPr>
            <w:tcW w:type="dxa" w:w="1234"/>
          </w:tcPr>
          <w:p>
            <w:r>
              <w:t>N/A (secular)</w:t>
            </w:r>
          </w:p>
        </w:tc>
        <w:tc>
          <w:tcPr>
            <w:tcW w:type="dxa" w:w="1234"/>
          </w:tcPr>
          <w:p>
            <w:r>
              <w:t>N/A</w:t>
            </w:r>
          </w:p>
        </w:tc>
        <w:tc>
          <w:tcPr>
            <w:tcW w:type="dxa" w:w="1234"/>
          </w:tcPr>
          <w:p>
            <w:r>
              <w:t>Years</w:t>
            </w:r>
          </w:p>
        </w:tc>
        <w:tc>
          <w:tcPr>
            <w:tcW w:type="dxa" w:w="1234"/>
          </w:tcPr>
          <w:p>
            <w:r>
              <w:t>OEM adoption rate</w:t>
            </w:r>
          </w:p>
        </w:tc>
      </w:tr>
    </w:tbl>
    <w:p>
      <w:r/>
      <w:r>
        <w:rPr>
          <w:b/>
        </w:rPr>
        <w:t>Key Catalysts:</w:t>
      </w:r>
      <w:r>
        <w:t xml:space="preserve"> There are no near-term catalysts from this specific event. Long-term thematic catalysts: NHTSA autonomous driving regulation updates, TSLA FSD regulatory milestones, global ADAS adoption rates.</w:t>
      </w:r>
    </w:p>
    <w:p>
      <w:r/>
      <w:r>
        <w:rPr>
          <w:b/>
        </w:rPr>
        <w:t>Key Sensitivity:</w:t>
      </w:r>
      <w:r>
        <w:t xml:space="preserve"> This "thesis" hinges on whether transportation safety becomes a sustained political issue in major markets (US, EU). Individual accidents in developing countries do not create that pressure.</w:t>
      </w:r>
    </w:p>
    <w:p>
      <w:r/>
      <w:r>
        <w:rPr>
          <w:b/>
        </w:rPr>
        <w:t>Kill Condition:</w:t>
      </w:r>
      <w:r>
        <w:t xml:space="preserve"> There's no trade to kill because there's no event-driven trade to begin with. For the long-term thematic: if TSLA FSD safety data shows regression, or NHTSA tightens autonomous driving restrictions, reduce conviction.</w:t>
      </w:r>
    </w:p>
    <w:p>
      <w:r/>
      <w:r>
        <w:rPr>
          <w:b/>
        </w:rPr>
        <w:t>Base Rate:</w:t>
      </w:r>
      <w:r>
        <w:t xml:space="preserve"> Individual transportation accidents in developing countries have had zero measurable impact on US equities in any historical dataset I can reference. This is noise, not signal.</w:t>
      </w:r>
    </w:p>
    <w:p>
      <w:r/>
      <w:r>
        <w:rPr>
          <w:b/>
        </w:rPr>
        <w:t>Net-net:</w:t>
      </w:r>
      <w:r>
        <w:t xml:space="preserve"> No event-driven trade exists here. If these accidents make you think about transportation safety technology as a long-term investment, TSLA and MBLY are the secular leaders — but buy them on valuation and technology milestones, not on bus crash headlines. This is the one event where the right answer is: wait for a better catalyst.</w:t>
      </w:r>
    </w:p>
    <w:p>
      <w:r>
        <w:t>This is a causal reasoning exercise — not investment advice. Always do your own due diligence.</w:t>
      </w:r>
    </w:p>
    <w:p>
      <w:r>
        <w:t>*Document generated: Mr.IF v4.3 Simulation — February 2026*</w:t>
      </w:r>
    </w:p>
    <w:p>
      <w:r>
        <w:t>*10 events tested across daily, geopolitical, corporate, social, and nature categories.*</w:t>
      </w:r>
    </w:p>
    <w:p>
      <w:r>
        <w:t>*Format: Inverted Pyramid + Logic Blocks with Net-net closing (v4.3 structure).*</w:t>
      </w:r>
    </w:p>
    <w:p>
      <w:r>
        <w:br w:type="page"/>
      </w:r>
    </w:p>
    <w:p>
      <w:pPr>
        <w:jc w:val="center"/>
      </w:pPr>
      <w:r>
        <w:rPr>
          <w:color w:val="787878"/>
          <w:sz w:val="20"/>
        </w:rPr>
        <w:br/>
        <w:t>Mr.IF v4.3 — Butterfly-Effect Financial Reasoning Agent</w:t>
        <w:br/>
        <w:t>10-Event Simulation · February 2026</w:t>
        <w:br/>
        <w:t>Format: Inverted Pyramid + Logic Blocks + Net-net (v4.3)</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