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75FD2" w14:textId="29C46A8C" w:rsidR="0030440B" w:rsidRPr="005A665A" w:rsidRDefault="00605F6E" w:rsidP="005A665A">
      <w:pPr>
        <w:spacing w:after="600"/>
        <w:rPr>
          <w:sz w:val="16"/>
          <w:szCs w:val="16"/>
        </w:rPr>
      </w:pPr>
      <w:r w:rsidRPr="005A665A">
        <w:rPr>
          <w:b/>
          <w:bCs/>
          <w:sz w:val="22"/>
          <w:szCs w:val="22"/>
        </w:rPr>
        <w:t>제 1</w:t>
      </w:r>
      <w:r w:rsidR="005A665A" w:rsidRPr="005A665A">
        <w:rPr>
          <w:rFonts w:hint="eastAsia"/>
          <w:b/>
          <w:bCs/>
          <w:sz w:val="22"/>
          <w:szCs w:val="22"/>
        </w:rPr>
        <w:t>6</w:t>
      </w:r>
      <w:r w:rsidRPr="005A665A">
        <w:rPr>
          <w:b/>
          <w:bCs/>
          <w:sz w:val="22"/>
          <w:szCs w:val="22"/>
        </w:rPr>
        <w:t>회 DB 금융·경제 공모전</w:t>
      </w:r>
    </w:p>
    <w:p w14:paraId="6C375FD3" w14:textId="77777777" w:rsidR="0030440B" w:rsidRDefault="0030440B"/>
    <w:p w14:paraId="6C375FD4" w14:textId="77777777" w:rsidR="0030440B" w:rsidRDefault="0030440B"/>
    <w:p w14:paraId="6C375FD5" w14:textId="77777777" w:rsidR="0030440B" w:rsidRDefault="0030440B"/>
    <w:p w14:paraId="6C375FD6" w14:textId="77777777" w:rsidR="0030440B" w:rsidRDefault="0030440B"/>
    <w:p w14:paraId="233C630D" w14:textId="77777777" w:rsidR="005A665A" w:rsidRDefault="005A665A"/>
    <w:p w14:paraId="5F9F3FFB" w14:textId="77777777" w:rsidR="005A665A" w:rsidRDefault="005A665A"/>
    <w:p w14:paraId="7A934899" w14:textId="77777777" w:rsidR="000C7655" w:rsidRDefault="005A665A" w:rsidP="000C7655">
      <w:pPr>
        <w:jc w:val="center"/>
        <w:rPr>
          <w:b/>
          <w:bCs/>
          <w:sz w:val="28"/>
          <w:szCs w:val="28"/>
        </w:rPr>
      </w:pPr>
      <w:r w:rsidRPr="005A665A">
        <w:rPr>
          <w:rFonts w:hint="eastAsia"/>
          <w:b/>
          <w:bCs/>
          <w:sz w:val="28"/>
          <w:szCs w:val="28"/>
        </w:rPr>
        <w:t>한국형</w:t>
      </w:r>
      <w:r w:rsidRPr="005A665A">
        <w:rPr>
          <w:b/>
          <w:bCs/>
          <w:sz w:val="28"/>
          <w:szCs w:val="28"/>
        </w:rPr>
        <w:t xml:space="preserve"> </w:t>
      </w:r>
      <w:proofErr w:type="spellStart"/>
      <w:r w:rsidRPr="005A665A">
        <w:rPr>
          <w:b/>
          <w:bCs/>
          <w:sz w:val="28"/>
          <w:szCs w:val="28"/>
        </w:rPr>
        <w:t>온체인</w:t>
      </w:r>
      <w:proofErr w:type="spellEnd"/>
      <w:r w:rsidRPr="005A665A">
        <w:rPr>
          <w:b/>
          <w:bCs/>
          <w:sz w:val="28"/>
          <w:szCs w:val="28"/>
        </w:rPr>
        <w:t xml:space="preserve"> </w:t>
      </w:r>
      <w:proofErr w:type="spellStart"/>
      <w:r w:rsidRPr="005A665A">
        <w:rPr>
          <w:b/>
          <w:bCs/>
          <w:sz w:val="28"/>
          <w:szCs w:val="28"/>
        </w:rPr>
        <w:t>레포</w:t>
      </w:r>
      <w:proofErr w:type="spellEnd"/>
      <w:r w:rsidRPr="005A665A">
        <w:rPr>
          <w:b/>
          <w:bCs/>
          <w:sz w:val="28"/>
          <w:szCs w:val="28"/>
        </w:rPr>
        <w:t>(On-chain Repo)</w:t>
      </w:r>
    </w:p>
    <w:p w14:paraId="7A107D35" w14:textId="1422AEE6" w:rsidR="005A665A" w:rsidRPr="005A665A" w:rsidRDefault="005A665A" w:rsidP="000C7655">
      <w:pPr>
        <w:jc w:val="center"/>
        <w:rPr>
          <w:b/>
          <w:bCs/>
          <w:sz w:val="28"/>
          <w:szCs w:val="28"/>
        </w:rPr>
      </w:pPr>
      <w:r w:rsidRPr="005A665A">
        <w:rPr>
          <w:b/>
          <w:bCs/>
          <w:sz w:val="28"/>
          <w:szCs w:val="28"/>
        </w:rPr>
        <w:t>시스템 설계 및 경제적 유효성 검증</w:t>
      </w:r>
    </w:p>
    <w:p w14:paraId="6C375FDB" w14:textId="536D5A28" w:rsidR="0030440B" w:rsidRPr="005A665A" w:rsidRDefault="005A665A" w:rsidP="005A665A">
      <w:pPr>
        <w:jc w:val="center"/>
        <w:rPr>
          <w:sz w:val="22"/>
          <w:szCs w:val="22"/>
        </w:rPr>
      </w:pPr>
      <w:r>
        <w:rPr>
          <w:rFonts w:hint="eastAsia"/>
          <w:sz w:val="22"/>
          <w:szCs w:val="22"/>
        </w:rPr>
        <w:t xml:space="preserve">     [</w:t>
      </w:r>
      <w:r w:rsidRPr="005A665A">
        <w:rPr>
          <w:sz w:val="22"/>
          <w:szCs w:val="22"/>
        </w:rPr>
        <w:t xml:space="preserve">스마트 </w:t>
      </w:r>
      <w:proofErr w:type="spellStart"/>
      <w:r w:rsidRPr="005A665A">
        <w:rPr>
          <w:sz w:val="22"/>
          <w:szCs w:val="22"/>
        </w:rPr>
        <w:t>컨트랙트</w:t>
      </w:r>
      <w:proofErr w:type="spellEnd"/>
      <w:r w:rsidRPr="005A665A">
        <w:rPr>
          <w:sz w:val="22"/>
          <w:szCs w:val="22"/>
        </w:rPr>
        <w:t xml:space="preserve"> 기반 일중 DvP 결제와 몬테카를로 시뮬레이션 분석을 중심으로</w:t>
      </w:r>
      <w:r>
        <w:rPr>
          <w:rFonts w:hint="eastAsia"/>
          <w:sz w:val="22"/>
          <w:szCs w:val="22"/>
        </w:rPr>
        <w:t>]</w:t>
      </w:r>
    </w:p>
    <w:p w14:paraId="59FF22B0" w14:textId="77777777" w:rsidR="005A665A" w:rsidRDefault="005A665A" w:rsidP="005A665A">
      <w:r>
        <w:rPr>
          <w:noProof/>
        </w:rPr>
        <mc:AlternateContent>
          <mc:Choice Requires="wps">
            <w:drawing>
              <wp:anchor distT="0" distB="0" distL="114300" distR="114300" simplePos="0" relativeHeight="251659264" behindDoc="0" locked="0" layoutInCell="1" allowOverlap="1" wp14:anchorId="1D92E405" wp14:editId="3122D1D5">
                <wp:simplePos x="0" y="0"/>
                <wp:positionH relativeFrom="column">
                  <wp:posOffset>136025</wp:posOffset>
                </wp:positionH>
                <wp:positionV relativeFrom="paragraph">
                  <wp:posOffset>21553</wp:posOffset>
                </wp:positionV>
                <wp:extent cx="5992721" cy="7557"/>
                <wp:effectExtent l="0" t="0" r="27305" b="31115"/>
                <wp:wrapNone/>
                <wp:docPr id="1719197902" name="직선 연결선 1"/>
                <wp:cNvGraphicFramePr/>
                <a:graphic xmlns:a="http://schemas.openxmlformats.org/drawingml/2006/main">
                  <a:graphicData uri="http://schemas.microsoft.com/office/word/2010/wordprocessingShape">
                    <wps:wsp>
                      <wps:cNvCnPr/>
                      <wps:spPr>
                        <a:xfrm flipV="1">
                          <a:off x="0" y="0"/>
                          <a:ext cx="5992721" cy="7557"/>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A5157C" id="직선 연결선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0.7pt,1.7pt" to="482.5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" strokecolor="#4472c4 [3204]" strokeweight="1.5pt">
                <v:stroke joinstyle="miter"/>
              </v:line>
            </w:pict>
          </mc:Fallback>
        </mc:AlternateContent>
      </w:r>
    </w:p>
    <w:p w14:paraId="6C375FE6" w14:textId="0E774340" w:rsidR="0030440B" w:rsidRPr="00781596" w:rsidRDefault="00605F6E" w:rsidP="00781596">
      <w:pPr>
        <w:ind w:firstLineChars="3100" w:firstLine="6820"/>
      </w:pPr>
      <w:proofErr w:type="spellStart"/>
      <w:r w:rsidRPr="005A665A">
        <w:rPr>
          <w:sz w:val="22"/>
          <w:szCs w:val="22"/>
        </w:rPr>
        <w:t>팀명</w:t>
      </w:r>
      <w:proofErr w:type="spellEnd"/>
      <w:r w:rsidRPr="005A665A">
        <w:rPr>
          <w:sz w:val="22"/>
          <w:szCs w:val="22"/>
        </w:rPr>
        <w:t xml:space="preserve">: </w:t>
      </w:r>
      <w:r w:rsidR="005B6B46" w:rsidRPr="005A665A">
        <w:rPr>
          <w:rFonts w:hint="eastAsia"/>
          <w:sz w:val="22"/>
          <w:szCs w:val="22"/>
        </w:rPr>
        <w:t>N</w:t>
      </w:r>
      <w:r w:rsidR="004A1400">
        <w:rPr>
          <w:rFonts w:hint="eastAsia"/>
          <w:sz w:val="22"/>
          <w:szCs w:val="22"/>
        </w:rPr>
        <w:t>ODIT</w:t>
      </w:r>
      <w:r w:rsidR="005A665A">
        <w:rPr>
          <w:rFonts w:hint="eastAsia"/>
          <w:sz w:val="22"/>
          <w:szCs w:val="22"/>
        </w:rPr>
        <w:t xml:space="preserve">                                  </w:t>
      </w:r>
    </w:p>
    <w:p w14:paraId="6C375FE7" w14:textId="46B9C704" w:rsidR="0030440B" w:rsidRPr="005A665A" w:rsidRDefault="005A665A">
      <w:pPr>
        <w:jc w:val="center"/>
        <w:rPr>
          <w:sz w:val="22"/>
          <w:szCs w:val="22"/>
        </w:rPr>
      </w:pPr>
      <w:r>
        <w:rPr>
          <w:rFonts w:hint="eastAsia"/>
          <w:sz w:val="22"/>
          <w:szCs w:val="22"/>
        </w:rPr>
        <w:t xml:space="preserve">                                                             </w:t>
      </w:r>
      <w:r w:rsidR="00605F6E" w:rsidRPr="005A665A">
        <w:rPr>
          <w:sz w:val="22"/>
          <w:szCs w:val="22"/>
        </w:rPr>
        <w:t xml:space="preserve">분야: </w:t>
      </w:r>
      <w:proofErr w:type="spellStart"/>
      <w:r w:rsidR="005B6B46" w:rsidRPr="005A665A">
        <w:rPr>
          <w:rFonts w:hint="eastAsia"/>
          <w:sz w:val="22"/>
          <w:szCs w:val="22"/>
        </w:rPr>
        <w:t>증권∙자산운용</w:t>
      </w:r>
      <w:proofErr w:type="spellEnd"/>
    </w:p>
    <w:p w14:paraId="6C375FE8" w14:textId="77777777" w:rsidR="0030440B" w:rsidRDefault="0030440B">
      <w:pPr>
        <w:sectPr w:rsidR="0030440B">
          <w:headerReference w:type="default" r:id="rId8"/>
          <w:pgSz w:w="11906" w:h="16838"/>
          <w:pgMar w:top="1440" w:right="1440" w:bottom="1440" w:left="1440" w:header="708" w:footer="708" w:gutter="0"/>
          <w:cols w:space="720"/>
          <w:docGrid w:linePitch="360"/>
        </w:sectPr>
      </w:pPr>
    </w:p>
    <w:p w14:paraId="6C375FE9" w14:textId="77777777" w:rsidR="0030440B" w:rsidRPr="000B4AF1" w:rsidRDefault="00605F6E">
      <w:pPr>
        <w:pBdr>
          <w:bottom w:val="single" w:sz="6" w:space="8" w:color="4E342E"/>
        </w:pBdr>
        <w:spacing w:after="120"/>
        <w:rPr>
          <w:sz w:val="22"/>
          <w:szCs w:val="22"/>
        </w:rPr>
      </w:pPr>
      <w:r w:rsidRPr="000B4AF1">
        <w:rPr>
          <w:b/>
          <w:bCs/>
          <w:sz w:val="28"/>
          <w:szCs w:val="28"/>
        </w:rPr>
        <w:lastRenderedPageBreak/>
        <w:t>국문초록</w:t>
      </w:r>
    </w:p>
    <w:p w14:paraId="701F3673" w14:textId="77777777" w:rsidR="005A665A" w:rsidRDefault="005A665A"/>
    <w:p w14:paraId="1824D8AC" w14:textId="34C65D45" w:rsidR="001D302A" w:rsidRDefault="00573F12" w:rsidP="00573F12">
      <w:pPr>
        <w:ind w:firstLineChars="100" w:firstLine="240"/>
      </w:pPr>
      <w:r>
        <w:rPr>
          <w:rFonts w:hint="eastAsia"/>
        </w:rPr>
        <w:t xml:space="preserve">본 논문에서는 </w:t>
      </w:r>
      <w:r w:rsidR="000B4AF1">
        <w:rPr>
          <w:rFonts w:hint="eastAsia"/>
        </w:rPr>
        <w:t xml:space="preserve">전통적인 </w:t>
      </w:r>
      <w:proofErr w:type="spellStart"/>
      <w:r w:rsidR="000B4AF1">
        <w:rPr>
          <w:rFonts w:hint="eastAsia"/>
        </w:rPr>
        <w:t>레포시장</w:t>
      </w:r>
      <w:r w:rsidR="005A665A" w:rsidRPr="005A665A">
        <w:t>의</w:t>
      </w:r>
      <w:proofErr w:type="spellEnd"/>
      <w:r w:rsidR="005A665A" w:rsidRPr="005A665A">
        <w:t xml:space="preserve"> 비효율 개선을 위해 한국형 </w:t>
      </w:r>
      <w:proofErr w:type="spellStart"/>
      <w:r w:rsidR="005A665A" w:rsidRPr="005A665A">
        <w:t>온체인</w:t>
      </w:r>
      <w:proofErr w:type="spellEnd"/>
      <w:r w:rsidR="005A665A" w:rsidRPr="005A665A">
        <w:t xml:space="preserve"> </w:t>
      </w:r>
      <w:proofErr w:type="spellStart"/>
      <w:r w:rsidR="005A665A" w:rsidRPr="005A665A">
        <w:t>레포</w:t>
      </w:r>
      <w:proofErr w:type="spellEnd"/>
      <w:r w:rsidR="005A665A" w:rsidRPr="005A665A">
        <w:t>(On-chain Repo) 모델을 설계하고 경제적 유효성을 검증했다. 1만 회 몬테카를로 시뮬레이션 결과, 도입 시 연간 약 3조 원의 경제적 편익이 발생하며 결제 리스크는 최대 91.7% 감소하는 것으로 나타났다. KSD 중심의 블록체인 아키텍처를 통해 국내 금융 인프라 혁신을 위한 정량적 근거를 제시했</w:t>
      </w:r>
      <w:r w:rsidR="005A665A">
        <w:rPr>
          <w:rFonts w:hint="eastAsia"/>
        </w:rPr>
        <w:t>다.</w:t>
      </w:r>
    </w:p>
    <w:p w14:paraId="33271C0F" w14:textId="77777777" w:rsidR="005A665A" w:rsidRDefault="005A665A"/>
    <w:p w14:paraId="17274209" w14:textId="77777777" w:rsidR="005A665A" w:rsidRPr="005A665A" w:rsidRDefault="005A665A"/>
    <w:p w14:paraId="6C375FF2" w14:textId="3174BFFC" w:rsidR="0030440B" w:rsidRDefault="00605F6E" w:rsidP="006B7714">
      <w:pPr>
        <w:jc w:val="both"/>
        <w:rPr>
          <w:rFonts w:hint="eastAsia"/>
        </w:rPr>
        <w:sectPr w:rsidR="0030440B">
          <w:headerReference w:type="default" r:id="rId9"/>
          <w:footerReference w:type="default" r:id="rId10"/>
          <w:pgSz w:w="11906" w:h="16838"/>
          <w:pgMar w:top="1440" w:right="1440" w:bottom="1440" w:left="1440" w:header="708" w:footer="708" w:gutter="0"/>
          <w:cols w:space="720"/>
          <w:docGrid w:linePitch="360"/>
        </w:sectPr>
      </w:pPr>
      <w:r>
        <w:rPr>
          <w:b/>
          <w:bCs/>
        </w:rPr>
        <w:t xml:space="preserve">키워드: </w:t>
      </w:r>
      <w:proofErr w:type="spellStart"/>
      <w:r>
        <w:t>온체인</w:t>
      </w:r>
      <w:proofErr w:type="spellEnd"/>
      <w:r>
        <w:t xml:space="preserve"> </w:t>
      </w:r>
      <w:proofErr w:type="spellStart"/>
      <w:r>
        <w:t>레포</w:t>
      </w:r>
      <w:proofErr w:type="spellEnd"/>
      <w:r>
        <w:t xml:space="preserve">(On-chain Repo), 블록체인, 스마트 </w:t>
      </w:r>
      <w:proofErr w:type="spellStart"/>
      <w:r>
        <w:t>컨트랙트</w:t>
      </w:r>
      <w:proofErr w:type="spellEnd"/>
      <w:r>
        <w:t xml:space="preserve">, DvP(Delivery versus Payment), KOFR, 몬테카를로 시뮬레이션, </w:t>
      </w:r>
      <w:proofErr w:type="spellStart"/>
      <w:r>
        <w:t>헤어컷</w:t>
      </w:r>
      <w:proofErr w:type="spellEnd"/>
      <w:r>
        <w:t xml:space="preserve"> 최적화, 일중 유동성, 총 경제적 편익(TEB), 한국예탁결제원(KSD</w:t>
      </w:r>
      <w:r w:rsidR="009F1B87">
        <w:rPr>
          <w:rFonts w:hint="eastAsia"/>
        </w:rPr>
        <w:t>)</w:t>
      </w:r>
    </w:p>
    <w:p w14:paraId="0084330E" w14:textId="77777777" w:rsidR="006B7714" w:rsidRPr="006B7714" w:rsidRDefault="006B7714" w:rsidP="006B7714">
      <w:pPr>
        <w:spacing w:after="200"/>
        <w:jc w:val="center"/>
        <w:rPr>
          <w:sz w:val="28"/>
          <w:szCs w:val="28"/>
        </w:rPr>
      </w:pPr>
      <w:r w:rsidRPr="006B7714">
        <w:rPr>
          <w:b/>
          <w:bCs/>
          <w:sz w:val="28"/>
          <w:szCs w:val="28"/>
        </w:rPr>
        <w:lastRenderedPageBreak/>
        <w:t>목 차</w:t>
      </w:r>
    </w:p>
    <w:p w14:paraId="6AA752CF" w14:textId="44534B0A" w:rsidR="006B7714" w:rsidRPr="006B7714" w:rsidRDefault="006B7714" w:rsidP="006B7714">
      <w:pPr>
        <w:spacing w:after="200"/>
        <w:rPr>
          <w:sz w:val="22"/>
          <w:szCs w:val="22"/>
        </w:rPr>
      </w:pPr>
      <w:proofErr w:type="spellStart"/>
      <w:r w:rsidRPr="006B7714">
        <w:rPr>
          <w:b/>
          <w:bCs/>
        </w:rPr>
        <w:t>국문초록</w:t>
      </w:r>
      <w:proofErr w:type="spellEnd"/>
      <w:r w:rsidR="00971CAF">
        <w:rPr>
          <w:rFonts w:hint="eastAsia"/>
          <w:sz w:val="22"/>
          <w:szCs w:val="22"/>
        </w:rPr>
        <w:t xml:space="preserve"> </w:t>
      </w:r>
      <w:r w:rsidR="00400F46" w:rsidRPr="006B7714">
        <w:rPr>
          <w:sz w:val="22"/>
          <w:szCs w:val="22"/>
        </w:rPr>
        <w:t>···</w:t>
      </w:r>
      <w:r w:rsidRPr="006B7714">
        <w:rPr>
          <w:sz w:val="22"/>
          <w:szCs w:val="22"/>
        </w:rPr>
        <w:t xml:space="preserve"> 2</w:t>
      </w:r>
    </w:p>
    <w:p w14:paraId="68B70613" w14:textId="046B3DBF" w:rsidR="006B7714" w:rsidRPr="00971CAF" w:rsidRDefault="006B7714" w:rsidP="006B7714">
      <w:pPr>
        <w:spacing w:after="200"/>
      </w:pPr>
      <w:r w:rsidRPr="006B7714">
        <w:rPr>
          <w:b/>
          <w:bCs/>
        </w:rPr>
        <w:t>1. 서론</w:t>
      </w:r>
      <w:r w:rsidR="00971CAF" w:rsidRPr="00971CAF">
        <w:rPr>
          <w:rFonts w:hint="eastAsia"/>
          <w:b/>
          <w:bCs/>
        </w:rPr>
        <w:t xml:space="preserve"> </w:t>
      </w:r>
      <w:r w:rsidR="00400F46" w:rsidRPr="006B7714">
        <w:t>···</w:t>
      </w:r>
      <w:r w:rsidR="00400F46" w:rsidRPr="00971CAF">
        <w:rPr>
          <w:rFonts w:hint="eastAsia"/>
        </w:rPr>
        <w:t xml:space="preserve"> </w:t>
      </w:r>
      <w:r w:rsidRPr="006B7714">
        <w:t>5</w:t>
      </w:r>
    </w:p>
    <w:p w14:paraId="1747D53B" w14:textId="46852427" w:rsidR="006B7714" w:rsidRPr="00971CAF" w:rsidRDefault="006B7714" w:rsidP="006B7714">
      <w:pPr>
        <w:spacing w:after="200"/>
        <w:ind w:firstLineChars="100" w:firstLine="200"/>
        <w:rPr>
          <w:sz w:val="20"/>
          <w:szCs w:val="20"/>
        </w:rPr>
      </w:pPr>
      <w:r w:rsidRPr="006B7714">
        <w:rPr>
          <w:sz w:val="20"/>
          <w:szCs w:val="20"/>
        </w:rPr>
        <w:t xml:space="preserve">1.1 전 세계 </w:t>
      </w:r>
      <w:proofErr w:type="spellStart"/>
      <w:r w:rsidRPr="006B7714">
        <w:rPr>
          <w:sz w:val="20"/>
          <w:szCs w:val="20"/>
        </w:rPr>
        <w:t>온체인</w:t>
      </w:r>
      <w:proofErr w:type="spellEnd"/>
      <w:r w:rsidRPr="006B7714">
        <w:rPr>
          <w:sz w:val="20"/>
          <w:szCs w:val="20"/>
        </w:rPr>
        <w:t xml:space="preserve"> </w:t>
      </w:r>
      <w:proofErr w:type="spellStart"/>
      <w:r w:rsidRPr="006B7714">
        <w:rPr>
          <w:sz w:val="20"/>
          <w:szCs w:val="20"/>
        </w:rPr>
        <w:t>레포</w:t>
      </w:r>
      <w:proofErr w:type="spellEnd"/>
      <w:r w:rsidRPr="006B7714">
        <w:rPr>
          <w:sz w:val="20"/>
          <w:szCs w:val="20"/>
        </w:rPr>
        <w:t xml:space="preserve"> 거래 현황 </w:t>
      </w:r>
      <w:r w:rsidR="00400F46" w:rsidRPr="006B7714">
        <w:rPr>
          <w:sz w:val="20"/>
          <w:szCs w:val="20"/>
        </w:rPr>
        <w:t>·</w:t>
      </w:r>
      <w:r w:rsidRPr="006B7714">
        <w:rPr>
          <w:sz w:val="20"/>
          <w:szCs w:val="20"/>
        </w:rPr>
        <w:t>·· 5</w:t>
      </w:r>
    </w:p>
    <w:p w14:paraId="600C10F8" w14:textId="2E10687C" w:rsidR="006B7714" w:rsidRPr="00971CAF" w:rsidRDefault="006B7714" w:rsidP="006B7714">
      <w:pPr>
        <w:spacing w:after="200"/>
        <w:ind w:firstLineChars="100" w:firstLine="200"/>
        <w:rPr>
          <w:sz w:val="20"/>
          <w:szCs w:val="20"/>
        </w:rPr>
      </w:pPr>
      <w:r w:rsidRPr="006B7714">
        <w:rPr>
          <w:sz w:val="20"/>
          <w:szCs w:val="20"/>
        </w:rPr>
        <w:t xml:space="preserve">1.2 </w:t>
      </w:r>
      <w:proofErr w:type="spellStart"/>
      <w:r w:rsidRPr="006B7714">
        <w:rPr>
          <w:sz w:val="20"/>
          <w:szCs w:val="20"/>
        </w:rPr>
        <w:t>온체인</w:t>
      </w:r>
      <w:proofErr w:type="spellEnd"/>
      <w:r w:rsidRPr="006B7714">
        <w:rPr>
          <w:sz w:val="20"/>
          <w:szCs w:val="20"/>
        </w:rPr>
        <w:t xml:space="preserve"> </w:t>
      </w:r>
      <w:proofErr w:type="spellStart"/>
      <w:r w:rsidRPr="006B7714">
        <w:rPr>
          <w:sz w:val="20"/>
          <w:szCs w:val="20"/>
        </w:rPr>
        <w:t>레포</w:t>
      </w:r>
      <w:proofErr w:type="spellEnd"/>
      <w:r w:rsidRPr="006B7714">
        <w:rPr>
          <w:sz w:val="20"/>
          <w:szCs w:val="20"/>
        </w:rPr>
        <w:t xml:space="preserve"> 거래의 필요성</w:t>
      </w:r>
      <w:r w:rsidR="00400F46" w:rsidRPr="006B7714">
        <w:rPr>
          <w:sz w:val="20"/>
          <w:szCs w:val="20"/>
        </w:rPr>
        <w:t>···</w:t>
      </w:r>
      <w:r w:rsidRPr="006B7714">
        <w:rPr>
          <w:sz w:val="20"/>
          <w:szCs w:val="20"/>
        </w:rPr>
        <w:t xml:space="preserve"> </w:t>
      </w:r>
      <w:r w:rsidRPr="00971CAF">
        <w:rPr>
          <w:rFonts w:hint="eastAsia"/>
          <w:sz w:val="20"/>
          <w:szCs w:val="20"/>
        </w:rPr>
        <w:t>6</w:t>
      </w:r>
      <w:r w:rsidRPr="006B7714">
        <w:rPr>
          <w:sz w:val="20"/>
          <w:szCs w:val="20"/>
        </w:rPr>
        <w:t xml:space="preserve"> </w:t>
      </w:r>
    </w:p>
    <w:p w14:paraId="3020CE48" w14:textId="2B99306D" w:rsidR="006B7714" w:rsidRPr="006B7714" w:rsidRDefault="006B7714" w:rsidP="006B7714">
      <w:pPr>
        <w:spacing w:after="200"/>
        <w:ind w:firstLineChars="100" w:firstLine="200"/>
        <w:rPr>
          <w:sz w:val="20"/>
          <w:szCs w:val="20"/>
        </w:rPr>
      </w:pPr>
      <w:r w:rsidRPr="006B7714">
        <w:rPr>
          <w:sz w:val="20"/>
          <w:szCs w:val="20"/>
        </w:rPr>
        <w:t xml:space="preserve">1.3 논문의 구성 </w:t>
      </w:r>
      <w:r w:rsidR="00400F46" w:rsidRPr="006B7714">
        <w:rPr>
          <w:sz w:val="20"/>
          <w:szCs w:val="20"/>
        </w:rPr>
        <w:t>·</w:t>
      </w:r>
      <w:r w:rsidRPr="006B7714">
        <w:rPr>
          <w:sz w:val="20"/>
          <w:szCs w:val="20"/>
        </w:rPr>
        <w:t xml:space="preserve">·· </w:t>
      </w:r>
      <w:r w:rsidRPr="00971CAF">
        <w:rPr>
          <w:rFonts w:hint="eastAsia"/>
          <w:sz w:val="20"/>
          <w:szCs w:val="20"/>
        </w:rPr>
        <w:t>7</w:t>
      </w:r>
    </w:p>
    <w:p w14:paraId="2E68C45E" w14:textId="2EE39CAA" w:rsidR="006B7714" w:rsidRPr="00971CAF" w:rsidRDefault="006B7714" w:rsidP="006B7714">
      <w:pPr>
        <w:spacing w:after="200"/>
        <w:rPr>
          <w:b/>
          <w:bCs/>
        </w:rPr>
      </w:pPr>
      <w:r w:rsidRPr="006B7714">
        <w:rPr>
          <w:b/>
          <w:bCs/>
        </w:rPr>
        <w:t xml:space="preserve">2. 선행연구 및 이론적 배경 </w:t>
      </w:r>
      <w:r w:rsidR="00400F46" w:rsidRPr="006B7714">
        <w:rPr>
          <w:b/>
          <w:bCs/>
        </w:rPr>
        <w:t>··</w:t>
      </w:r>
      <w:r w:rsidRPr="006B7714">
        <w:rPr>
          <w:b/>
          <w:bCs/>
        </w:rPr>
        <w:t>· 7</w:t>
      </w:r>
    </w:p>
    <w:p w14:paraId="70B913B7" w14:textId="67A51DDB" w:rsidR="006B7714" w:rsidRPr="00971CAF" w:rsidRDefault="006B7714" w:rsidP="006B7714">
      <w:pPr>
        <w:spacing w:after="200"/>
        <w:ind w:firstLineChars="100" w:firstLine="200"/>
        <w:rPr>
          <w:sz w:val="20"/>
          <w:szCs w:val="20"/>
        </w:rPr>
      </w:pPr>
      <w:r w:rsidRPr="006B7714">
        <w:rPr>
          <w:sz w:val="20"/>
          <w:szCs w:val="20"/>
        </w:rPr>
        <w:t xml:space="preserve">2.1 </w:t>
      </w:r>
      <w:proofErr w:type="spellStart"/>
      <w:r w:rsidRPr="006B7714">
        <w:rPr>
          <w:sz w:val="20"/>
          <w:szCs w:val="20"/>
        </w:rPr>
        <w:t>레포</w:t>
      </w:r>
      <w:proofErr w:type="spellEnd"/>
      <w:r w:rsidRPr="006B7714">
        <w:rPr>
          <w:sz w:val="20"/>
          <w:szCs w:val="20"/>
        </w:rPr>
        <w:t xml:space="preserve"> 시장 구조 및 결제 리스크 선행연구</w:t>
      </w:r>
      <w:r w:rsidR="00400F46" w:rsidRPr="006B7714">
        <w:rPr>
          <w:sz w:val="20"/>
          <w:szCs w:val="20"/>
        </w:rPr>
        <w:t>··</w:t>
      </w:r>
      <w:r w:rsidRPr="006B7714">
        <w:rPr>
          <w:sz w:val="20"/>
          <w:szCs w:val="20"/>
        </w:rPr>
        <w:t xml:space="preserve">· 7 </w:t>
      </w:r>
    </w:p>
    <w:p w14:paraId="61AC2F1C" w14:textId="544E771D" w:rsidR="006B7714" w:rsidRPr="00971CAF" w:rsidRDefault="006B7714" w:rsidP="00400F46">
      <w:pPr>
        <w:spacing w:after="200"/>
        <w:ind w:firstLineChars="100" w:firstLine="200"/>
        <w:rPr>
          <w:sz w:val="20"/>
          <w:szCs w:val="20"/>
        </w:rPr>
      </w:pPr>
      <w:r w:rsidRPr="006B7714">
        <w:rPr>
          <w:sz w:val="20"/>
          <w:szCs w:val="20"/>
        </w:rPr>
        <w:t>2.2 블록체인 기반 결제 인프라 선행연구 ··· 8</w:t>
      </w:r>
    </w:p>
    <w:p w14:paraId="7596617E" w14:textId="613C6B59" w:rsidR="006B7714" w:rsidRPr="006B7714" w:rsidRDefault="006B7714" w:rsidP="006B7714">
      <w:pPr>
        <w:spacing w:after="200"/>
        <w:ind w:firstLineChars="100" w:firstLine="200"/>
        <w:rPr>
          <w:sz w:val="20"/>
          <w:szCs w:val="20"/>
        </w:rPr>
      </w:pPr>
      <w:r w:rsidRPr="006B7714">
        <w:rPr>
          <w:sz w:val="20"/>
          <w:szCs w:val="20"/>
        </w:rPr>
        <w:t>2.3 이론적 배경 ··· 9</w:t>
      </w:r>
    </w:p>
    <w:p w14:paraId="598CE1CA" w14:textId="62D3A176" w:rsidR="006B7714" w:rsidRPr="00971CAF" w:rsidRDefault="006B7714" w:rsidP="006B7714">
      <w:pPr>
        <w:spacing w:after="200"/>
        <w:rPr>
          <w:b/>
          <w:bCs/>
        </w:rPr>
      </w:pPr>
      <w:r w:rsidRPr="006B7714">
        <w:rPr>
          <w:b/>
          <w:bCs/>
        </w:rPr>
        <w:t xml:space="preserve">3. 연구설계 및 방법론 ··· </w:t>
      </w:r>
      <w:r w:rsidRPr="00971CAF">
        <w:rPr>
          <w:rFonts w:hint="eastAsia"/>
          <w:b/>
          <w:bCs/>
        </w:rPr>
        <w:t>10</w:t>
      </w:r>
    </w:p>
    <w:p w14:paraId="4605BEFA" w14:textId="657C60B3" w:rsidR="006B7714" w:rsidRPr="00971CAF" w:rsidRDefault="006B7714" w:rsidP="006B7714">
      <w:pPr>
        <w:spacing w:after="200"/>
        <w:ind w:firstLine="220"/>
        <w:rPr>
          <w:sz w:val="20"/>
          <w:szCs w:val="20"/>
        </w:rPr>
      </w:pPr>
      <w:r w:rsidRPr="006B7714">
        <w:rPr>
          <w:sz w:val="20"/>
          <w:szCs w:val="20"/>
        </w:rPr>
        <w:t xml:space="preserve">3.1 총 경제적 편익(TEB) 모델 구축 ··· </w:t>
      </w:r>
      <w:r w:rsidRPr="00971CAF">
        <w:rPr>
          <w:rFonts w:hint="eastAsia"/>
          <w:sz w:val="20"/>
          <w:szCs w:val="20"/>
        </w:rPr>
        <w:t>10</w:t>
      </w:r>
    </w:p>
    <w:p w14:paraId="7B88A90F" w14:textId="77777777" w:rsidR="006B7714" w:rsidRPr="00971CAF" w:rsidRDefault="006B7714" w:rsidP="006B7714">
      <w:pPr>
        <w:spacing w:after="200"/>
        <w:ind w:firstLine="220"/>
        <w:rPr>
          <w:sz w:val="20"/>
          <w:szCs w:val="20"/>
        </w:rPr>
      </w:pPr>
      <w:r w:rsidRPr="006B7714">
        <w:rPr>
          <w:sz w:val="20"/>
          <w:szCs w:val="20"/>
        </w:rPr>
        <w:t xml:space="preserve"> 　　채널 1: 유동성 조기 회수 수익 ··· 10 </w:t>
      </w:r>
    </w:p>
    <w:p w14:paraId="2E5113AD" w14:textId="3420FC90" w:rsidR="006B7714" w:rsidRPr="00971CAF" w:rsidRDefault="006B7714" w:rsidP="006B7714">
      <w:pPr>
        <w:spacing w:after="200"/>
        <w:ind w:firstLineChars="200" w:firstLine="400"/>
        <w:rPr>
          <w:rFonts w:hint="eastAsia"/>
          <w:sz w:val="20"/>
          <w:szCs w:val="20"/>
        </w:rPr>
      </w:pPr>
      <w:r w:rsidRPr="006B7714">
        <w:rPr>
          <w:sz w:val="20"/>
          <w:szCs w:val="20"/>
        </w:rPr>
        <w:t xml:space="preserve">　</w:t>
      </w:r>
      <w:r w:rsidRPr="00971CAF">
        <w:rPr>
          <w:rFonts w:hint="eastAsia"/>
          <w:sz w:val="20"/>
          <w:szCs w:val="20"/>
        </w:rPr>
        <w:t xml:space="preserve"> </w:t>
      </w:r>
      <w:r w:rsidRPr="006B7714">
        <w:rPr>
          <w:sz w:val="20"/>
          <w:szCs w:val="20"/>
        </w:rPr>
        <w:t xml:space="preserve">채널 2: </w:t>
      </w:r>
      <w:proofErr w:type="spellStart"/>
      <w:r w:rsidRPr="006B7714">
        <w:rPr>
          <w:sz w:val="20"/>
          <w:szCs w:val="20"/>
        </w:rPr>
        <w:t>헤어컷</w:t>
      </w:r>
      <w:proofErr w:type="spellEnd"/>
      <w:r w:rsidRPr="006B7714">
        <w:rPr>
          <w:sz w:val="20"/>
          <w:szCs w:val="20"/>
        </w:rPr>
        <w:t xml:space="preserve"> 최적화에 따른 담보 해방 수익 ··· 1</w:t>
      </w:r>
      <w:r w:rsidR="0096574B">
        <w:rPr>
          <w:rFonts w:hint="eastAsia"/>
          <w:sz w:val="20"/>
          <w:szCs w:val="20"/>
        </w:rPr>
        <w:t>1</w:t>
      </w:r>
    </w:p>
    <w:p w14:paraId="7F9A9A13" w14:textId="77777777" w:rsidR="006B7714" w:rsidRPr="00971CAF" w:rsidRDefault="006B7714" w:rsidP="006B7714">
      <w:pPr>
        <w:spacing w:after="200"/>
        <w:ind w:firstLineChars="200" w:firstLine="400"/>
        <w:rPr>
          <w:sz w:val="20"/>
          <w:szCs w:val="20"/>
        </w:rPr>
      </w:pPr>
      <w:r w:rsidRPr="006B7714">
        <w:rPr>
          <w:sz w:val="20"/>
          <w:szCs w:val="20"/>
        </w:rPr>
        <w:t xml:space="preserve"> 　채널 3: 일중 유동성 버퍼 기회비용 절감 ··· 1</w:t>
      </w:r>
      <w:r w:rsidRPr="00971CAF">
        <w:rPr>
          <w:rFonts w:hint="eastAsia"/>
          <w:sz w:val="20"/>
          <w:szCs w:val="20"/>
        </w:rPr>
        <w:t>2</w:t>
      </w:r>
    </w:p>
    <w:p w14:paraId="2527079A" w14:textId="277184A0" w:rsidR="006B7714" w:rsidRPr="006B7714" w:rsidRDefault="006B7714" w:rsidP="006B7714">
      <w:pPr>
        <w:spacing w:after="200"/>
        <w:ind w:firstLineChars="100" w:firstLine="200"/>
        <w:rPr>
          <w:sz w:val="20"/>
          <w:szCs w:val="20"/>
        </w:rPr>
      </w:pPr>
      <w:r w:rsidRPr="006B7714">
        <w:rPr>
          <w:sz w:val="20"/>
          <w:szCs w:val="20"/>
        </w:rPr>
        <w:t>3.2 몬테카를로 시뮬레이션 설계 ··· 1</w:t>
      </w:r>
      <w:r w:rsidRPr="00971CAF">
        <w:rPr>
          <w:rFonts w:hint="eastAsia"/>
          <w:sz w:val="20"/>
          <w:szCs w:val="20"/>
        </w:rPr>
        <w:t>3</w:t>
      </w:r>
    </w:p>
    <w:p w14:paraId="7B9F5F67" w14:textId="77777777" w:rsidR="006B7714" w:rsidRPr="00971CAF" w:rsidRDefault="006B7714" w:rsidP="006B7714">
      <w:pPr>
        <w:spacing w:after="200"/>
        <w:rPr>
          <w:b/>
          <w:bCs/>
        </w:rPr>
      </w:pPr>
      <w:r w:rsidRPr="006B7714">
        <w:rPr>
          <w:b/>
          <w:bCs/>
        </w:rPr>
        <w:t xml:space="preserve">4. 한국형 </w:t>
      </w:r>
      <w:proofErr w:type="spellStart"/>
      <w:r w:rsidRPr="006B7714">
        <w:rPr>
          <w:b/>
          <w:bCs/>
        </w:rPr>
        <w:t>온체인</w:t>
      </w:r>
      <w:proofErr w:type="spellEnd"/>
      <w:r w:rsidRPr="006B7714">
        <w:rPr>
          <w:b/>
          <w:bCs/>
        </w:rPr>
        <w:t xml:space="preserve"> </w:t>
      </w:r>
      <w:proofErr w:type="spellStart"/>
      <w:r w:rsidRPr="006B7714">
        <w:rPr>
          <w:b/>
          <w:bCs/>
        </w:rPr>
        <w:t>레포</w:t>
      </w:r>
      <w:proofErr w:type="spellEnd"/>
      <w:r w:rsidRPr="006B7714">
        <w:rPr>
          <w:b/>
          <w:bCs/>
        </w:rPr>
        <w:t xml:space="preserve"> 시스템 설계 ··· 1</w:t>
      </w:r>
      <w:r w:rsidRPr="00971CAF">
        <w:rPr>
          <w:rFonts w:hint="eastAsia"/>
          <w:b/>
          <w:bCs/>
        </w:rPr>
        <w:t>3</w:t>
      </w:r>
    </w:p>
    <w:p w14:paraId="19C94653" w14:textId="24951D3C" w:rsidR="006B7714" w:rsidRPr="00971CAF" w:rsidRDefault="006B7714" w:rsidP="006B7714">
      <w:pPr>
        <w:spacing w:after="200"/>
        <w:ind w:firstLine="220"/>
        <w:rPr>
          <w:sz w:val="20"/>
          <w:szCs w:val="20"/>
        </w:rPr>
      </w:pPr>
      <w:r w:rsidRPr="006B7714">
        <w:rPr>
          <w:sz w:val="20"/>
          <w:szCs w:val="20"/>
        </w:rPr>
        <w:t>4.1 시스템 아키텍처 ··· 1</w:t>
      </w:r>
      <w:r w:rsidRPr="00971CAF">
        <w:rPr>
          <w:rFonts w:hint="eastAsia"/>
          <w:sz w:val="20"/>
          <w:szCs w:val="20"/>
        </w:rPr>
        <w:t>3</w:t>
      </w:r>
    </w:p>
    <w:p w14:paraId="069BC2EB" w14:textId="68053550" w:rsidR="006B7714" w:rsidRPr="00971CAF" w:rsidRDefault="006B7714" w:rsidP="006B7714">
      <w:pPr>
        <w:spacing w:after="200"/>
        <w:ind w:firstLine="220"/>
        <w:rPr>
          <w:sz w:val="20"/>
          <w:szCs w:val="20"/>
        </w:rPr>
      </w:pPr>
      <w:r w:rsidRPr="006B7714">
        <w:rPr>
          <w:sz w:val="20"/>
          <w:szCs w:val="20"/>
        </w:rPr>
        <w:t xml:space="preserve">4.2 스마트 </w:t>
      </w:r>
      <w:proofErr w:type="spellStart"/>
      <w:r w:rsidRPr="006B7714">
        <w:rPr>
          <w:sz w:val="20"/>
          <w:szCs w:val="20"/>
        </w:rPr>
        <w:t>컨트랙트</w:t>
      </w:r>
      <w:proofErr w:type="spellEnd"/>
      <w:r w:rsidRPr="006B7714">
        <w:rPr>
          <w:sz w:val="20"/>
          <w:szCs w:val="20"/>
        </w:rPr>
        <w:t xml:space="preserve"> 상세 설계 ··· 1</w:t>
      </w:r>
      <w:r w:rsidRPr="00971CAF">
        <w:rPr>
          <w:rFonts w:hint="eastAsia"/>
          <w:sz w:val="20"/>
          <w:szCs w:val="20"/>
        </w:rPr>
        <w:t>4</w:t>
      </w:r>
    </w:p>
    <w:p w14:paraId="77FAA913" w14:textId="77777777" w:rsidR="00400F46" w:rsidRPr="00971CAF" w:rsidRDefault="006B7714" w:rsidP="006B7714">
      <w:pPr>
        <w:spacing w:after="200"/>
        <w:ind w:firstLine="220"/>
        <w:rPr>
          <w:sz w:val="20"/>
          <w:szCs w:val="20"/>
        </w:rPr>
      </w:pPr>
      <w:r w:rsidRPr="006B7714">
        <w:rPr>
          <w:sz w:val="20"/>
          <w:szCs w:val="20"/>
        </w:rPr>
        <w:t>4.3 거래 프로세스(거래 프로세스) 상세 설계 ··· 1</w:t>
      </w:r>
      <w:r w:rsidRPr="00971CAF">
        <w:rPr>
          <w:rFonts w:hint="eastAsia"/>
          <w:sz w:val="20"/>
          <w:szCs w:val="20"/>
        </w:rPr>
        <w:t>5</w:t>
      </w:r>
    </w:p>
    <w:p w14:paraId="7A08FE8C" w14:textId="079B26CC" w:rsidR="00400F46" w:rsidRPr="00971CAF" w:rsidRDefault="006B7714" w:rsidP="00400F46">
      <w:pPr>
        <w:spacing w:after="200"/>
        <w:ind w:firstLineChars="100" w:firstLine="200"/>
        <w:rPr>
          <w:sz w:val="20"/>
          <w:szCs w:val="20"/>
        </w:rPr>
      </w:pPr>
      <w:r w:rsidRPr="006B7714">
        <w:rPr>
          <w:sz w:val="20"/>
          <w:szCs w:val="20"/>
        </w:rPr>
        <w:t>4.4 Oracle 설계 및 거버넌스 ··· 1</w:t>
      </w:r>
      <w:r w:rsidR="00400F46" w:rsidRPr="00971CAF">
        <w:rPr>
          <w:rFonts w:hint="eastAsia"/>
          <w:sz w:val="20"/>
          <w:szCs w:val="20"/>
        </w:rPr>
        <w:t>7</w:t>
      </w:r>
    </w:p>
    <w:p w14:paraId="10A7616A" w14:textId="135A73D2" w:rsidR="00400F46" w:rsidRPr="00971CAF" w:rsidRDefault="006B7714" w:rsidP="00400F46">
      <w:pPr>
        <w:spacing w:after="200"/>
        <w:ind w:firstLineChars="100" w:firstLine="200"/>
        <w:rPr>
          <w:sz w:val="20"/>
          <w:szCs w:val="20"/>
        </w:rPr>
      </w:pPr>
      <w:r w:rsidRPr="006B7714">
        <w:rPr>
          <w:sz w:val="20"/>
          <w:szCs w:val="20"/>
        </w:rPr>
        <w:t>4.5 KSD가 중심이 된 한국형 모델 ··· 1</w:t>
      </w:r>
      <w:r w:rsidR="0096574B">
        <w:rPr>
          <w:rFonts w:hint="eastAsia"/>
          <w:sz w:val="20"/>
          <w:szCs w:val="20"/>
        </w:rPr>
        <w:t>8</w:t>
      </w:r>
    </w:p>
    <w:p w14:paraId="655B56EA" w14:textId="720973E9" w:rsidR="006B7714" w:rsidRPr="006B7714" w:rsidRDefault="006B7714" w:rsidP="00400F46">
      <w:pPr>
        <w:spacing w:after="200"/>
        <w:ind w:firstLineChars="100" w:firstLine="200"/>
        <w:rPr>
          <w:sz w:val="20"/>
          <w:szCs w:val="20"/>
        </w:rPr>
      </w:pPr>
      <w:r w:rsidRPr="006B7714">
        <w:rPr>
          <w:sz w:val="20"/>
          <w:szCs w:val="20"/>
        </w:rPr>
        <w:t xml:space="preserve">4.6 글로벌 플랫폼 대비 </w:t>
      </w:r>
      <w:proofErr w:type="spellStart"/>
      <w:r w:rsidRPr="006B7714">
        <w:rPr>
          <w:sz w:val="20"/>
          <w:szCs w:val="20"/>
        </w:rPr>
        <w:t>차별점</w:t>
      </w:r>
      <w:proofErr w:type="spellEnd"/>
      <w:r w:rsidRPr="006B7714">
        <w:rPr>
          <w:sz w:val="20"/>
          <w:szCs w:val="20"/>
        </w:rPr>
        <w:t xml:space="preserve"> ··· 1</w:t>
      </w:r>
      <w:r w:rsidR="00400F46" w:rsidRPr="00971CAF">
        <w:rPr>
          <w:rFonts w:hint="eastAsia"/>
          <w:sz w:val="20"/>
          <w:szCs w:val="20"/>
        </w:rPr>
        <w:t>8</w:t>
      </w:r>
    </w:p>
    <w:p w14:paraId="68B5F183" w14:textId="77777777" w:rsidR="00400F46" w:rsidRPr="00971CAF" w:rsidRDefault="006B7714" w:rsidP="006B7714">
      <w:pPr>
        <w:spacing w:after="200"/>
        <w:rPr>
          <w:b/>
          <w:bCs/>
        </w:rPr>
      </w:pPr>
      <w:r w:rsidRPr="006B7714">
        <w:rPr>
          <w:b/>
          <w:bCs/>
        </w:rPr>
        <w:lastRenderedPageBreak/>
        <w:t xml:space="preserve">5. 연구결과: </w:t>
      </w:r>
      <w:proofErr w:type="spellStart"/>
      <w:r w:rsidRPr="006B7714">
        <w:rPr>
          <w:b/>
          <w:bCs/>
        </w:rPr>
        <w:t>온체인</w:t>
      </w:r>
      <w:proofErr w:type="spellEnd"/>
      <w:r w:rsidRPr="006B7714">
        <w:rPr>
          <w:b/>
          <w:bCs/>
        </w:rPr>
        <w:t xml:space="preserve"> </w:t>
      </w:r>
      <w:proofErr w:type="spellStart"/>
      <w:r w:rsidRPr="006B7714">
        <w:rPr>
          <w:b/>
          <w:bCs/>
        </w:rPr>
        <w:t>레포</w:t>
      </w:r>
      <w:proofErr w:type="spellEnd"/>
      <w:r w:rsidRPr="006B7714">
        <w:rPr>
          <w:b/>
          <w:bCs/>
        </w:rPr>
        <w:t xml:space="preserve"> 기대효과 정량 분석 ··· 1</w:t>
      </w:r>
      <w:r w:rsidR="00400F46" w:rsidRPr="00971CAF">
        <w:rPr>
          <w:rFonts w:hint="eastAsia"/>
          <w:b/>
          <w:bCs/>
        </w:rPr>
        <w:t>9</w:t>
      </w:r>
    </w:p>
    <w:p w14:paraId="7CED7E43" w14:textId="77777777" w:rsidR="00400F46" w:rsidRPr="00971CAF" w:rsidRDefault="006B7714" w:rsidP="006B7714">
      <w:pPr>
        <w:spacing w:after="200"/>
        <w:rPr>
          <w:sz w:val="20"/>
          <w:szCs w:val="20"/>
        </w:rPr>
      </w:pPr>
      <w:r w:rsidRPr="006B7714">
        <w:rPr>
          <w:sz w:val="20"/>
          <w:szCs w:val="20"/>
        </w:rPr>
        <w:t xml:space="preserve"> 　5.1 KOFR 데이터 분석 및 시장 특성 ··· 1</w:t>
      </w:r>
      <w:r w:rsidR="00400F46" w:rsidRPr="00971CAF">
        <w:rPr>
          <w:rFonts w:hint="eastAsia"/>
          <w:sz w:val="20"/>
          <w:szCs w:val="20"/>
        </w:rPr>
        <w:t>9</w:t>
      </w:r>
    </w:p>
    <w:p w14:paraId="544E9917" w14:textId="2D20405C" w:rsidR="00400F46" w:rsidRPr="00971CAF" w:rsidRDefault="006B7714" w:rsidP="006B7714">
      <w:pPr>
        <w:spacing w:after="200"/>
        <w:rPr>
          <w:rFonts w:hint="eastAsia"/>
          <w:sz w:val="20"/>
          <w:szCs w:val="20"/>
        </w:rPr>
      </w:pPr>
      <w:r w:rsidRPr="006B7714">
        <w:rPr>
          <w:sz w:val="20"/>
          <w:szCs w:val="20"/>
        </w:rPr>
        <w:t xml:space="preserve"> 　5.2 결제 리스크 감소 — </w:t>
      </w:r>
      <w:proofErr w:type="spellStart"/>
      <w:r w:rsidRPr="006B7714">
        <w:rPr>
          <w:sz w:val="20"/>
          <w:szCs w:val="20"/>
        </w:rPr>
        <w:t>VaR</w:t>
      </w:r>
      <w:proofErr w:type="spellEnd"/>
      <w:r w:rsidRPr="006B7714">
        <w:rPr>
          <w:sz w:val="20"/>
          <w:szCs w:val="20"/>
        </w:rPr>
        <w:t xml:space="preserve"> 분석 ··· </w:t>
      </w:r>
      <w:r w:rsidR="0096574B">
        <w:rPr>
          <w:rFonts w:hint="eastAsia"/>
          <w:sz w:val="20"/>
          <w:szCs w:val="20"/>
        </w:rPr>
        <w:t>20</w:t>
      </w:r>
    </w:p>
    <w:p w14:paraId="4ABECB0E" w14:textId="77777777" w:rsidR="00400F46" w:rsidRPr="00971CAF" w:rsidRDefault="006B7714" w:rsidP="006B7714">
      <w:pPr>
        <w:spacing w:after="200"/>
        <w:rPr>
          <w:sz w:val="20"/>
          <w:szCs w:val="20"/>
        </w:rPr>
      </w:pPr>
      <w:r w:rsidRPr="006B7714">
        <w:rPr>
          <w:sz w:val="20"/>
          <w:szCs w:val="20"/>
        </w:rPr>
        <w:t xml:space="preserve"> 　5.3 </w:t>
      </w:r>
      <w:proofErr w:type="spellStart"/>
      <w:r w:rsidRPr="006B7714">
        <w:rPr>
          <w:sz w:val="20"/>
          <w:szCs w:val="20"/>
        </w:rPr>
        <w:t>헤어컷</w:t>
      </w:r>
      <w:proofErr w:type="spellEnd"/>
      <w:r w:rsidRPr="006B7714">
        <w:rPr>
          <w:sz w:val="20"/>
          <w:szCs w:val="20"/>
        </w:rPr>
        <w:t xml:space="preserve"> 최적화에 따른 담보 해방 효과 ··· </w:t>
      </w:r>
      <w:r w:rsidR="00400F46" w:rsidRPr="00971CAF">
        <w:rPr>
          <w:rFonts w:hint="eastAsia"/>
          <w:sz w:val="20"/>
          <w:szCs w:val="20"/>
        </w:rPr>
        <w:t>20</w:t>
      </w:r>
    </w:p>
    <w:p w14:paraId="1679BF6C" w14:textId="6593D27E" w:rsidR="00400F46" w:rsidRPr="00971CAF" w:rsidRDefault="006B7714" w:rsidP="006B7714">
      <w:pPr>
        <w:spacing w:after="200"/>
        <w:rPr>
          <w:sz w:val="20"/>
          <w:szCs w:val="20"/>
        </w:rPr>
      </w:pPr>
      <w:r w:rsidRPr="006B7714">
        <w:rPr>
          <w:sz w:val="20"/>
          <w:szCs w:val="20"/>
        </w:rPr>
        <w:t xml:space="preserve"> 　5.4 일중 유동성 버퍼 기회비용 절감 ··· </w:t>
      </w:r>
      <w:r w:rsidR="00400F46" w:rsidRPr="00971CAF">
        <w:rPr>
          <w:rFonts w:hint="eastAsia"/>
          <w:sz w:val="20"/>
          <w:szCs w:val="20"/>
        </w:rPr>
        <w:t>2</w:t>
      </w:r>
      <w:r w:rsidR="0096574B">
        <w:rPr>
          <w:rFonts w:hint="eastAsia"/>
          <w:sz w:val="20"/>
          <w:szCs w:val="20"/>
        </w:rPr>
        <w:t>1</w:t>
      </w:r>
    </w:p>
    <w:p w14:paraId="1E668901" w14:textId="77777777" w:rsidR="00400F46" w:rsidRPr="00971CAF" w:rsidRDefault="006B7714" w:rsidP="006B7714">
      <w:pPr>
        <w:spacing w:after="200"/>
        <w:rPr>
          <w:sz w:val="20"/>
          <w:szCs w:val="20"/>
        </w:rPr>
      </w:pPr>
      <w:r w:rsidRPr="006B7714">
        <w:rPr>
          <w:sz w:val="20"/>
          <w:szCs w:val="20"/>
        </w:rPr>
        <w:t xml:space="preserve"> 　5.5 총 경제적 편익(TEB) 모델 결과 ··· 2</w:t>
      </w:r>
      <w:r w:rsidR="00400F46" w:rsidRPr="00971CAF">
        <w:rPr>
          <w:rFonts w:hint="eastAsia"/>
          <w:sz w:val="20"/>
          <w:szCs w:val="20"/>
        </w:rPr>
        <w:t>1</w:t>
      </w:r>
    </w:p>
    <w:p w14:paraId="7C224325" w14:textId="71437A0A" w:rsidR="006B7714" w:rsidRPr="006B7714" w:rsidRDefault="006B7714" w:rsidP="006B7714">
      <w:pPr>
        <w:spacing w:after="200"/>
        <w:rPr>
          <w:sz w:val="20"/>
          <w:szCs w:val="20"/>
        </w:rPr>
      </w:pPr>
      <w:r w:rsidRPr="006B7714">
        <w:rPr>
          <w:sz w:val="20"/>
          <w:szCs w:val="20"/>
        </w:rPr>
        <w:t xml:space="preserve"> 　5.6 몬테카를로 시뮬레이션 결과 ··· 2</w:t>
      </w:r>
      <w:r w:rsidR="00400F46" w:rsidRPr="00971CAF">
        <w:rPr>
          <w:rFonts w:hint="eastAsia"/>
          <w:sz w:val="20"/>
          <w:szCs w:val="20"/>
        </w:rPr>
        <w:t>2</w:t>
      </w:r>
    </w:p>
    <w:p w14:paraId="58D6CD41" w14:textId="3AB15C3B" w:rsidR="00400F46" w:rsidRPr="00971CAF" w:rsidRDefault="006B7714" w:rsidP="006B7714">
      <w:pPr>
        <w:spacing w:after="200"/>
        <w:rPr>
          <w:b/>
          <w:bCs/>
        </w:rPr>
      </w:pPr>
      <w:r w:rsidRPr="006B7714">
        <w:rPr>
          <w:b/>
          <w:bCs/>
        </w:rPr>
        <w:t>6. 결론 및 정책 제언 ··· 2</w:t>
      </w:r>
      <w:r w:rsidR="00400F46" w:rsidRPr="00971CAF">
        <w:rPr>
          <w:rFonts w:hint="eastAsia"/>
          <w:b/>
          <w:bCs/>
        </w:rPr>
        <w:t>3</w:t>
      </w:r>
      <w:r w:rsidRPr="006B7714">
        <w:rPr>
          <w:b/>
          <w:bCs/>
        </w:rPr>
        <w:t xml:space="preserve"> </w:t>
      </w:r>
    </w:p>
    <w:p w14:paraId="1569A791" w14:textId="561B04B4" w:rsidR="00400F46" w:rsidRPr="00971CAF" w:rsidRDefault="006B7714" w:rsidP="00400F46">
      <w:pPr>
        <w:spacing w:after="200"/>
        <w:ind w:firstLine="220"/>
        <w:rPr>
          <w:sz w:val="20"/>
          <w:szCs w:val="20"/>
        </w:rPr>
      </w:pPr>
      <w:r w:rsidRPr="006B7714">
        <w:rPr>
          <w:sz w:val="20"/>
          <w:szCs w:val="20"/>
        </w:rPr>
        <w:t>6.1 핵심 결론 ··· 2</w:t>
      </w:r>
      <w:r w:rsidR="00400F46" w:rsidRPr="00971CAF">
        <w:rPr>
          <w:rFonts w:hint="eastAsia"/>
          <w:sz w:val="20"/>
          <w:szCs w:val="20"/>
        </w:rPr>
        <w:t>3</w:t>
      </w:r>
      <w:r w:rsidRPr="006B7714">
        <w:rPr>
          <w:sz w:val="20"/>
          <w:szCs w:val="20"/>
        </w:rPr>
        <w:t xml:space="preserve"> </w:t>
      </w:r>
    </w:p>
    <w:p w14:paraId="165F6FE2" w14:textId="4BBA2773" w:rsidR="00400F46" w:rsidRPr="00971CAF" w:rsidRDefault="006B7714" w:rsidP="00400F46">
      <w:pPr>
        <w:spacing w:after="200"/>
        <w:ind w:firstLine="220"/>
        <w:rPr>
          <w:sz w:val="20"/>
          <w:szCs w:val="20"/>
        </w:rPr>
      </w:pPr>
      <w:r w:rsidRPr="006B7714">
        <w:rPr>
          <w:sz w:val="20"/>
          <w:szCs w:val="20"/>
        </w:rPr>
        <w:t>6.2 정책 제언 및</w:t>
      </w:r>
      <w:r w:rsidR="00ED14E4">
        <w:rPr>
          <w:rFonts w:hint="eastAsia"/>
          <w:sz w:val="20"/>
          <w:szCs w:val="20"/>
        </w:rPr>
        <w:t xml:space="preserve"> 로드맵</w:t>
      </w:r>
      <w:r w:rsidRPr="006B7714">
        <w:rPr>
          <w:sz w:val="20"/>
          <w:szCs w:val="20"/>
        </w:rPr>
        <w:t xml:space="preserve"> ··· 2</w:t>
      </w:r>
      <w:r w:rsidR="00400F46" w:rsidRPr="00971CAF">
        <w:rPr>
          <w:rFonts w:hint="eastAsia"/>
          <w:sz w:val="20"/>
          <w:szCs w:val="20"/>
        </w:rPr>
        <w:t>4</w:t>
      </w:r>
    </w:p>
    <w:p w14:paraId="23C6809E" w14:textId="77777777" w:rsidR="00400F46" w:rsidRPr="00971CAF" w:rsidRDefault="006B7714" w:rsidP="00400F46">
      <w:pPr>
        <w:spacing w:after="200"/>
        <w:ind w:firstLine="220"/>
        <w:rPr>
          <w:sz w:val="20"/>
          <w:szCs w:val="20"/>
        </w:rPr>
      </w:pPr>
      <w:r w:rsidRPr="006B7714">
        <w:rPr>
          <w:sz w:val="20"/>
          <w:szCs w:val="20"/>
        </w:rPr>
        <w:t>6.3 규제 개정안 (입법 제안) ··· 2</w:t>
      </w:r>
      <w:r w:rsidR="00400F46" w:rsidRPr="00971CAF">
        <w:rPr>
          <w:rFonts w:hint="eastAsia"/>
          <w:sz w:val="20"/>
          <w:szCs w:val="20"/>
        </w:rPr>
        <w:t>5</w:t>
      </w:r>
    </w:p>
    <w:p w14:paraId="20861E8B" w14:textId="77777777" w:rsidR="00400F46" w:rsidRPr="00971CAF" w:rsidRDefault="006B7714" w:rsidP="00400F46">
      <w:pPr>
        <w:spacing w:after="200"/>
        <w:ind w:firstLine="220"/>
        <w:rPr>
          <w:sz w:val="20"/>
          <w:szCs w:val="20"/>
        </w:rPr>
      </w:pPr>
      <w:r w:rsidRPr="006B7714">
        <w:rPr>
          <w:sz w:val="20"/>
          <w:szCs w:val="20"/>
        </w:rPr>
        <w:t>6.</w:t>
      </w:r>
      <w:r w:rsidR="00400F46" w:rsidRPr="00971CAF">
        <w:rPr>
          <w:rFonts w:hint="eastAsia"/>
          <w:sz w:val="20"/>
          <w:szCs w:val="20"/>
        </w:rPr>
        <w:t>4</w:t>
      </w:r>
      <w:r w:rsidRPr="006B7714">
        <w:rPr>
          <w:sz w:val="20"/>
          <w:szCs w:val="20"/>
        </w:rPr>
        <w:t xml:space="preserve"> 기대 효과 및 결론 ··· 2</w:t>
      </w:r>
      <w:r w:rsidR="00400F46" w:rsidRPr="00971CAF">
        <w:rPr>
          <w:rFonts w:hint="eastAsia"/>
          <w:sz w:val="20"/>
          <w:szCs w:val="20"/>
        </w:rPr>
        <w:t>6</w:t>
      </w:r>
    </w:p>
    <w:p w14:paraId="6E4103F3" w14:textId="1288ADF4" w:rsidR="006B7714" w:rsidRPr="006B7714" w:rsidRDefault="006B7714" w:rsidP="00400F46">
      <w:pPr>
        <w:spacing w:after="200"/>
        <w:rPr>
          <w:b/>
          <w:bCs/>
        </w:rPr>
      </w:pPr>
      <w:r w:rsidRPr="006B7714">
        <w:rPr>
          <w:b/>
          <w:bCs/>
        </w:rPr>
        <w:t>참고문헌 ··· 2</w:t>
      </w:r>
      <w:r w:rsidR="00400F46" w:rsidRPr="00ED14E4">
        <w:rPr>
          <w:rFonts w:hint="eastAsia"/>
          <w:b/>
          <w:bCs/>
        </w:rPr>
        <w:t>9</w:t>
      </w:r>
    </w:p>
    <w:p w14:paraId="6C375FF7" w14:textId="7BD42DFB" w:rsidR="006B7714" w:rsidRPr="004A1219" w:rsidRDefault="006B7714" w:rsidP="006B7714">
      <w:pPr>
        <w:spacing w:after="200"/>
        <w:rPr>
          <w:sz w:val="22"/>
          <w:szCs w:val="22"/>
        </w:rPr>
        <w:sectPr w:rsidR="006B7714" w:rsidRPr="004A1219">
          <w:pgSz w:w="11906" w:h="16838"/>
          <w:pgMar w:top="1440" w:right="1440" w:bottom="1440" w:left="1440" w:header="708" w:footer="708" w:gutter="0"/>
          <w:cols w:space="720"/>
          <w:docGrid w:linePitch="360"/>
        </w:sectPr>
      </w:pPr>
    </w:p>
    <w:p w14:paraId="6C375FF8" w14:textId="77777777" w:rsidR="0030440B" w:rsidRDefault="00605F6E">
      <w:pPr>
        <w:pStyle w:val="1"/>
      </w:pPr>
      <w:bookmarkStart w:id="0" w:name="_Toc223089332"/>
      <w:r>
        <w:lastRenderedPageBreak/>
        <w:t>1. 서론</w:t>
      </w:r>
      <w:bookmarkEnd w:id="0"/>
    </w:p>
    <w:p w14:paraId="6C375FF9" w14:textId="77777777" w:rsidR="0030440B" w:rsidRDefault="00605F6E">
      <w:pPr>
        <w:pStyle w:val="2"/>
      </w:pPr>
      <w:bookmarkStart w:id="1" w:name="_Toc223089333"/>
      <w:r>
        <w:t>1.1 전 세계 온체인 레포 거래 현황</w:t>
      </w:r>
      <w:bookmarkEnd w:id="1"/>
    </w:p>
    <w:p w14:paraId="11A47CDC" w14:textId="0294AD91" w:rsidR="00542824" w:rsidRDefault="00605F6E" w:rsidP="008A707B">
      <w:pPr>
        <w:ind w:firstLineChars="100" w:firstLine="240"/>
        <w:jc w:val="both"/>
      </w:pPr>
      <w:r>
        <w:t xml:space="preserve">미국 </w:t>
      </w:r>
      <w:r>
        <w:rPr>
          <w:rFonts w:hint="eastAsia"/>
        </w:rPr>
        <w:t>국채 레포 거래량은</w:t>
      </w:r>
      <w:r>
        <w:t xml:space="preserve"> 약 4조</w:t>
      </w:r>
      <w:r>
        <w:rPr>
          <w:rFonts w:hint="eastAsia"/>
        </w:rPr>
        <w:t xml:space="preserve"> 6천억</w:t>
      </w:r>
      <w:r>
        <w:t xml:space="preserve"> 달러</w:t>
      </w:r>
      <w:r>
        <w:rPr>
          <w:rFonts w:hint="eastAsia"/>
        </w:rPr>
        <w:t>(2023년 4월 기준)</w:t>
      </w:r>
      <w:r>
        <w:t>단기 유동성 공급 인프라로 기능하고 있다</w:t>
      </w:r>
      <w:r>
        <w:rPr>
          <w:rStyle w:val="a6"/>
        </w:rPr>
        <w:footnoteReference w:id="1"/>
      </w:r>
      <w:r>
        <w:t>. 한국 레포 시장 역시 한국은행이 2024년 유동성 공급용 레포 매입에 역대 최대 106.1조 원을 집행하였으며</w:t>
      </w:r>
      <w:r>
        <w:rPr>
          <w:rStyle w:val="a6"/>
        </w:rPr>
        <w:footnoteReference w:id="2"/>
      </w:r>
      <w:r>
        <w:t xml:space="preserve">, 기관간 </w:t>
      </w:r>
      <w:r>
        <w:rPr>
          <w:rFonts w:hint="eastAsia"/>
        </w:rPr>
        <w:t xml:space="preserve">일평균 </w:t>
      </w:r>
      <w:r>
        <w:t>RP 잔액은 202</w:t>
      </w:r>
      <w:r>
        <w:rPr>
          <w:rFonts w:hint="eastAsia"/>
        </w:rPr>
        <w:t>0년</w:t>
      </w:r>
      <w:r>
        <w:t xml:space="preserve"> 약 </w:t>
      </w:r>
      <w:r>
        <w:rPr>
          <w:rFonts w:hint="eastAsia"/>
        </w:rPr>
        <w:t>106.4</w:t>
      </w:r>
      <w:r>
        <w:t>조</w:t>
      </w:r>
      <w:r>
        <w:rPr>
          <w:rFonts w:hint="eastAsia"/>
        </w:rPr>
        <w:t xml:space="preserve"> 원, 2021년 약 126.4조, 2022년 149.2조, 2023년 176조, 2024년 209조 </w:t>
      </w:r>
      <w:r>
        <w:t>원에 이르는 등 그 중요성이 지속적으로 확대되고 있다</w:t>
      </w:r>
      <w:r>
        <w:rPr>
          <w:rFonts w:hint="eastAsia"/>
        </w:rPr>
        <w:t>.</w:t>
      </w:r>
    </w:p>
    <w:p w14:paraId="63262069" w14:textId="48B652FB" w:rsidR="00A83BF0" w:rsidRDefault="00A83BF0" w:rsidP="00A83BF0">
      <w:pPr>
        <w:ind w:firstLineChars="100" w:firstLine="240"/>
        <w:jc w:val="center"/>
      </w:pPr>
      <w:r>
        <w:rPr>
          <w:noProof/>
        </w:rPr>
        <w:drawing>
          <wp:inline distT="0" distB="0" distL="0" distR="0" wp14:anchorId="159A442C" wp14:editId="5A360F6B">
            <wp:extent cx="5303520" cy="2997641"/>
            <wp:effectExtent l="0" t="0" r="0" b="0"/>
            <wp:docPr id="16129" name="fig01" descr="RP Balance"/>
            <wp:cNvGraphicFramePr/>
            <a:graphic xmlns:a="http://schemas.openxmlformats.org/drawingml/2006/main">
              <a:graphicData uri="http://schemas.openxmlformats.org/drawingml/2006/picture">
                <pic:pic xmlns:pic="http://schemas.openxmlformats.org/drawingml/2006/picture">
                  <pic:nvPicPr>
                    <pic:cNvPr id="0" name="fig01"/>
                    <pic:cNvPicPr/>
                  </pic:nvPicPr>
                  <pic:blipFill>
                    <a:blip r:embed="rId11"/>
                    <a:stretch>
                      <a:fillRect/>
                    </a:stretch>
                  </pic:blipFill>
                  <pic:spPr>
                    <a:xfrm>
                      <a:off x="0" y="0"/>
                      <a:ext cx="5303520" cy="2997641"/>
                    </a:xfrm>
                    <a:prstGeom prst="rect">
                      <a:avLst/>
                    </a:prstGeom>
                  </pic:spPr>
                </pic:pic>
              </a:graphicData>
            </a:graphic>
          </wp:inline>
        </w:drawing>
      </w:r>
    </w:p>
    <w:p w14:paraId="48BE1756" w14:textId="77777777" w:rsidR="00A83BF0" w:rsidRDefault="00A83BF0" w:rsidP="00A83BF0">
      <w:pPr>
        <w:spacing w:before="60" w:after="240"/>
        <w:jc w:val="center"/>
      </w:pPr>
      <w:r>
        <w:rPr>
          <w:b/>
          <w:sz w:val="20"/>
          <w:szCs w:val="20"/>
        </w:rPr>
        <w:t>그림 1.</w:t>
      </w:r>
      <w:r>
        <w:rPr>
          <w:sz w:val="20"/>
          <w:szCs w:val="20"/>
        </w:rPr>
        <w:t xml:space="preserve"> 기관간 RP 일평균 잔액 추이 (2020~2024)</w:t>
      </w:r>
    </w:p>
    <w:p w14:paraId="683B1843" w14:textId="77777777" w:rsidR="00A83BF0" w:rsidRPr="00A83BF0" w:rsidRDefault="00A83BF0" w:rsidP="007F746D">
      <w:pPr>
        <w:ind w:firstLineChars="100" w:firstLine="240"/>
        <w:jc w:val="both"/>
      </w:pPr>
    </w:p>
    <w:p w14:paraId="6C376017" w14:textId="40647075" w:rsidR="0030440B" w:rsidRDefault="00605F6E" w:rsidP="007F746D">
      <w:pPr>
        <w:ind w:firstLineChars="100" w:firstLine="240"/>
        <w:jc w:val="both"/>
      </w:pPr>
      <w:r>
        <w:t xml:space="preserve">최근 2023년부터 2026년 초까지 글로벌 금융시장에서는 블록체인 기반 </w:t>
      </w:r>
      <w:proofErr w:type="spellStart"/>
      <w:r>
        <w:t>레포</w:t>
      </w:r>
      <w:proofErr w:type="spellEnd"/>
      <w:r>
        <w:t xml:space="preserve"> 결제 전환이 가속화되고 있다. 202</w:t>
      </w:r>
      <w:r>
        <w:rPr>
          <w:rFonts w:hint="eastAsia"/>
        </w:rPr>
        <w:t>5년</w:t>
      </w:r>
      <w:r>
        <w:t xml:space="preserve"> </w:t>
      </w:r>
      <w:r>
        <w:rPr>
          <w:rFonts w:hint="eastAsia"/>
        </w:rPr>
        <w:t>11</w:t>
      </w:r>
      <w:r>
        <w:t xml:space="preserve">월 Broadridge DLR 플랫폼이 일평균 </w:t>
      </w:r>
      <w:r>
        <w:rPr>
          <w:rFonts w:hint="eastAsia"/>
        </w:rPr>
        <w:t>3860억달러</w:t>
      </w:r>
      <w:r>
        <w:t xml:space="preserve"> 이상의 레포 처리를 돌파하여 허가형 블록체인 기반 기관 레포의 상업적 스케일을 입증하였고</w:t>
      </w:r>
      <w:r>
        <w:rPr>
          <w:rStyle w:val="a6"/>
        </w:rPr>
        <w:footnoteReference w:id="3"/>
      </w:r>
      <w:r>
        <w:t>, 2025년 5월에는 JPMorgan Kinexys가 Chainlink 및 Ondo와 협업하여 퍼블릭 체인 간 토큰화 국채 DvP를 완료하였다.</w:t>
      </w:r>
    </w:p>
    <w:p w14:paraId="6C376018" w14:textId="77777777" w:rsidR="0030440B" w:rsidRDefault="00605F6E" w:rsidP="007F746D">
      <w:pPr>
        <w:ind w:firstLineChars="100" w:firstLine="240"/>
        <w:jc w:val="both"/>
      </w:pPr>
      <w:r>
        <w:lastRenderedPageBreak/>
        <w:t>반면 한국은 KOFR 기반 레포 시장이 활성화되어 있고, 한국예탁결제원(KSD)이 KOFR 산출 및 결제 인프라를 운영하고 있으나, 블록체인 기반 레포 결제 도입은 아직 논의 초기 단계에 머무르고 있다. 이러한 글로벌 대비 한국의 후발주자 포지션이 본 연구의 핵심 동기이다.</w:t>
      </w:r>
    </w:p>
    <w:p w14:paraId="025D96F9" w14:textId="77777777" w:rsidR="009F1B87" w:rsidRDefault="009F1B87" w:rsidP="007F746D">
      <w:pPr>
        <w:ind w:firstLineChars="100" w:firstLine="240"/>
        <w:jc w:val="both"/>
      </w:pPr>
    </w:p>
    <w:p w14:paraId="6C376019" w14:textId="77777777" w:rsidR="0030440B" w:rsidRDefault="00605F6E">
      <w:pPr>
        <w:pStyle w:val="2"/>
      </w:pPr>
      <w:bookmarkStart w:id="2" w:name="_Toc223089334"/>
      <w:r>
        <w:t>1.2 온체인 레포 거래의 필요성</w:t>
      </w:r>
      <w:bookmarkEnd w:id="2"/>
    </w:p>
    <w:p w14:paraId="6C37601B" w14:textId="45E6B8B0" w:rsidR="0030440B" w:rsidRDefault="00605F6E" w:rsidP="007F746D">
      <w:pPr>
        <w:ind w:firstLineChars="100" w:firstLine="240"/>
        <w:jc w:val="both"/>
      </w:pPr>
      <w:r>
        <w:t>전통 레포 시장에는 세 가지 구조적 비효율이 내재되어 있다.</w:t>
      </w:r>
    </w:p>
    <w:p w14:paraId="6C37601D" w14:textId="68E1A0C1" w:rsidR="0030440B" w:rsidRPr="008A707B" w:rsidRDefault="00605F6E" w:rsidP="007F746D">
      <w:pPr>
        <w:ind w:firstLineChars="100" w:firstLine="240"/>
        <w:jc w:val="both"/>
      </w:pPr>
      <w:r w:rsidRPr="008A707B">
        <w:t>첫째, 엄격한 마감시간(Cut-off Time) 문제이다. 한국 레포 거래의 결제 마감시간은 오후 4시(KSD 기준)이며, 이 시간 이후 발생하는 유동성 수요는 익영업일로 이월된다. 온체인 레포는 24/7/365 결제를 가능하게 하여 마감시간 제약 자체를 제거한다.</w:t>
      </w:r>
    </w:p>
    <w:p w14:paraId="6C37601E" w14:textId="00BA12EB" w:rsidR="0030440B" w:rsidRDefault="00605F6E" w:rsidP="007F746D">
      <w:pPr>
        <w:ind w:firstLineChars="100" w:firstLine="240"/>
        <w:jc w:val="both"/>
      </w:pPr>
      <w:r w:rsidRPr="008A707B">
        <w:t xml:space="preserve">둘째, 결제 지연 및 상대방 리스크(Counterparty Risk) 문제이다. T+1 </w:t>
      </w:r>
      <w:r>
        <w:t>결제 체계에서 담보 인도와 현금 수수 사이의 시간적 갭(temporal gap)이 결제 실패(settlement fail) 리스크를 유발한다. JP Morgan의 RiskMetrics 모형에 기반한 가격 변동 노출(Potential Exposure) 근사식은 다음과 같다.</w:t>
      </w:r>
      <w:r>
        <w:rPr>
          <w:rStyle w:val="a6"/>
        </w:rPr>
        <w:footnoteReference w:id="4"/>
      </w:r>
    </w:p>
    <w:p w14:paraId="6C37601F" w14:textId="77777777" w:rsidR="0030440B" w:rsidRDefault="0030440B"/>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gridCol w:w="1500"/>
      </w:tblGrid>
      <w:tr w:rsidR="0030440B" w14:paraId="6C376022" w14:textId="77777777">
        <w:tc>
          <w:tcPr>
            <w:tcW w:w="7500" w:type="dxa"/>
            <w:tcBorders>
              <w:top w:val="single" w:sz="2" w:space="0" w:color="795548"/>
              <w:bottom w:val="single" w:sz="2" w:space="0" w:color="795548"/>
            </w:tcBorders>
            <w:tcMar>
              <w:top w:w="80" w:type="dxa"/>
              <w:left w:w="120" w:type="dxa"/>
              <w:bottom w:w="80" w:type="dxa"/>
              <w:right w:w="40" w:type="dxa"/>
            </w:tcMar>
          </w:tcPr>
          <w:p w14:paraId="6C376020" w14:textId="77777777" w:rsidR="0030440B" w:rsidRDefault="00605F6E" w:rsidP="007F746D">
            <w:pPr>
              <w:jc w:val="center"/>
            </w:pPr>
            <w:r>
              <w:rPr>
                <w:sz w:val="22"/>
                <w:szCs w:val="22"/>
              </w:rPr>
              <w:t>PE ≈ V × σ × √(Δt)</w:t>
            </w:r>
          </w:p>
        </w:tc>
        <w:tc>
          <w:tcPr>
            <w:tcW w:w="1500" w:type="dxa"/>
            <w:tcBorders>
              <w:top w:val="single" w:sz="2" w:space="0" w:color="795548"/>
              <w:bottom w:val="single" w:sz="2" w:space="0" w:color="795548"/>
            </w:tcBorders>
            <w:tcMar>
              <w:top w:w="80" w:type="dxa"/>
              <w:left w:w="40" w:type="dxa"/>
              <w:bottom w:w="80" w:type="dxa"/>
              <w:right w:w="120" w:type="dxa"/>
            </w:tcMar>
          </w:tcPr>
          <w:p w14:paraId="6C376021" w14:textId="77777777" w:rsidR="0030440B" w:rsidRDefault="00605F6E" w:rsidP="007F746D">
            <w:pPr>
              <w:jc w:val="center"/>
            </w:pPr>
            <w:r>
              <w:rPr>
                <w:b/>
                <w:bCs/>
                <w:sz w:val="20"/>
                <w:szCs w:val="20"/>
              </w:rPr>
              <w:t>(식 1)</w:t>
            </w:r>
          </w:p>
        </w:tc>
      </w:tr>
    </w:tbl>
    <w:p w14:paraId="6C376023" w14:textId="77777777" w:rsidR="0030440B" w:rsidRDefault="0030440B"/>
    <w:p w14:paraId="6C376024" w14:textId="77777777" w:rsidR="0030440B" w:rsidRDefault="00605F6E" w:rsidP="007F746D">
      <w:pPr>
        <w:ind w:firstLineChars="100" w:firstLine="240"/>
        <w:jc w:val="both"/>
      </w:pPr>
      <w:r>
        <w:t>여기서 V는 거래대금, σ는 변동성, Δt는 결제 대기 시간이다. T+1(Δt=1일)에서 T+0(Δt≈10분)으로 전환 시, PE는 √(1440/10) ≈ 12배 감소하여 결제 리스크가 약 91.7% 감소하는 효과를 보인다.</w:t>
      </w:r>
    </w:p>
    <w:p w14:paraId="6C376025" w14:textId="77777777" w:rsidR="0030440B" w:rsidRDefault="0030440B"/>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gridCol w:w="1500"/>
      </w:tblGrid>
      <w:tr w:rsidR="0030440B" w14:paraId="6C376028" w14:textId="77777777">
        <w:tc>
          <w:tcPr>
            <w:tcW w:w="7500" w:type="dxa"/>
            <w:tcBorders>
              <w:top w:val="single" w:sz="2" w:space="0" w:color="795548"/>
              <w:bottom w:val="single" w:sz="2" w:space="0" w:color="795548"/>
            </w:tcBorders>
            <w:tcMar>
              <w:top w:w="80" w:type="dxa"/>
              <w:left w:w="120" w:type="dxa"/>
              <w:bottom w:w="80" w:type="dxa"/>
              <w:right w:w="40" w:type="dxa"/>
            </w:tcMar>
          </w:tcPr>
          <w:p w14:paraId="6C376026" w14:textId="77777777" w:rsidR="0030440B" w:rsidRPr="007F746D" w:rsidRDefault="00605F6E" w:rsidP="007F746D">
            <w:pPr>
              <w:jc w:val="center"/>
            </w:pPr>
            <w:r>
              <w:rPr>
                <w:sz w:val="22"/>
                <w:szCs w:val="22"/>
              </w:rPr>
              <w:t>PE(T+0) / PE(T+1) = √(Δt(T+0) / Δt(T+1)) = √(10/1440) ≈ 0.083</w:t>
            </w:r>
          </w:p>
        </w:tc>
        <w:tc>
          <w:tcPr>
            <w:tcW w:w="1500" w:type="dxa"/>
            <w:tcBorders>
              <w:top w:val="single" w:sz="2" w:space="0" w:color="795548"/>
              <w:bottom w:val="single" w:sz="2" w:space="0" w:color="795548"/>
            </w:tcBorders>
            <w:tcMar>
              <w:top w:w="80" w:type="dxa"/>
              <w:left w:w="40" w:type="dxa"/>
              <w:bottom w:w="80" w:type="dxa"/>
              <w:right w:w="120" w:type="dxa"/>
            </w:tcMar>
          </w:tcPr>
          <w:p w14:paraId="6C376027" w14:textId="77777777" w:rsidR="0030440B" w:rsidRPr="007F746D" w:rsidRDefault="00605F6E" w:rsidP="007F746D">
            <w:pPr>
              <w:jc w:val="center"/>
            </w:pPr>
            <w:r>
              <w:rPr>
                <w:b/>
                <w:bCs/>
                <w:sz w:val="20"/>
                <w:szCs w:val="20"/>
              </w:rPr>
              <w:t>(식 2)</w:t>
            </w:r>
          </w:p>
        </w:tc>
      </w:tr>
    </w:tbl>
    <w:p w14:paraId="6C376029" w14:textId="77777777" w:rsidR="0030440B" w:rsidRDefault="0030440B"/>
    <w:p w14:paraId="6C376048" w14:textId="29F35B92" w:rsidR="0030440B" w:rsidRDefault="00605F6E" w:rsidP="007F746D">
      <w:pPr>
        <w:ind w:firstLineChars="100" w:firstLine="240"/>
        <w:jc w:val="both"/>
      </w:pPr>
      <w:r>
        <w:rPr>
          <w:b/>
          <w:bCs/>
        </w:rPr>
        <w:t xml:space="preserve">셋째, 최소 거래 단위의 경직성 문제이다. </w:t>
      </w:r>
      <w:r>
        <w:t>전통 레포의 최소 거래 기간은 1영업일(overnight)이다. 장중 수시간만 필요한 유동성도 하루 치 이자를 지불해야 하는 구조적 비효율이 존재한다. BIS Working Paper에 따르면, 일중 유동성 수요</w:t>
      </w:r>
      <w:r>
        <w:lastRenderedPageBreak/>
        <w:t>가 전체 결제 대금의 15%를 차지하나 overnight 시장으로밖에 충족할 수 없다</w:t>
      </w:r>
      <w:r>
        <w:rPr>
          <w:rStyle w:val="a6"/>
        </w:rPr>
        <w:footnoteReference w:id="5"/>
      </w:r>
      <w:r>
        <w:t>.</w:t>
      </w:r>
      <w:r>
        <w:rPr>
          <w:rFonts w:hint="eastAsia"/>
        </w:rPr>
        <w:t xml:space="preserve">이러한 </w:t>
      </w:r>
      <w:r>
        <w:t>미국은 2025년 12월 SEC가 DTCC에 no-action letter를 발급하여 퍼미션리스 블록체인 위 토큰화 증권 이전 시범을 허용하였</w:t>
      </w:r>
      <w:r>
        <w:rPr>
          <w:rFonts w:hint="eastAsia"/>
        </w:rPr>
        <w:t>다.</w:t>
      </w:r>
      <w:r>
        <w:rPr>
          <w:rStyle w:val="a6"/>
        </w:rPr>
        <w:footnoteReference w:id="6"/>
      </w:r>
    </w:p>
    <w:p w14:paraId="47C6EB53" w14:textId="77777777" w:rsidR="009F1B87" w:rsidRDefault="009F1B87" w:rsidP="007F746D">
      <w:pPr>
        <w:ind w:firstLineChars="100" w:firstLine="240"/>
        <w:jc w:val="both"/>
      </w:pPr>
    </w:p>
    <w:p w14:paraId="6C376049" w14:textId="0DC8E220" w:rsidR="0030440B" w:rsidRDefault="00605F6E">
      <w:pPr>
        <w:pStyle w:val="2"/>
      </w:pPr>
      <w:bookmarkStart w:id="3" w:name="_Toc223089336"/>
      <w:r>
        <w:t>1.</w:t>
      </w:r>
      <w:r>
        <w:rPr>
          <w:rFonts w:hint="eastAsia"/>
        </w:rPr>
        <w:t>3</w:t>
      </w:r>
      <w:r>
        <w:t xml:space="preserve"> 논문의 구성</w:t>
      </w:r>
      <w:bookmarkEnd w:id="3"/>
    </w:p>
    <w:p w14:paraId="6C37604A" w14:textId="77777777" w:rsidR="0030440B" w:rsidRDefault="00605F6E" w:rsidP="007F746D">
      <w:pPr>
        <w:ind w:firstLineChars="100" w:firstLine="240"/>
        <w:jc w:val="both"/>
      </w:pPr>
      <w:r>
        <w:t>본 논문의 이후 구성은 다음과 같다. 제2장에서는 레포 시장 구조 및 블록체인 기반 결제 인프라에 관한 선행연구를 검토하고 이론적 배경을 정리한다. 제3장에서는 총 경제적 편익(TEB) 모델 구축 및 몬테카를로 시뮬레이션 설계를 다룬다. 제4장에서는 한국형 온체인 레포 시스템 아키텍처 및 스마트 컨트랙트 상세 설계를 제시하고, 거래 프로세스 및 Oracle 메커니즘을 상세히 기술한다. 제5장에서는 정량적 기대효과 분석 결과를 도출하고 시나리오 분석을 통해 강건성을 검증하며, 제6장에서 정책 제언 및 phased implementation roadmap을 제시하며 결론 및 한계점을 논의한다.</w:t>
      </w:r>
    </w:p>
    <w:p w14:paraId="46D67D73" w14:textId="77777777" w:rsidR="00710341" w:rsidRDefault="00710341" w:rsidP="00566D6F">
      <w:bookmarkStart w:id="4" w:name="_Toc223089337"/>
    </w:p>
    <w:p w14:paraId="6C37604C" w14:textId="5BC59AF5" w:rsidR="0030440B" w:rsidRDefault="00605F6E" w:rsidP="00566D6F">
      <w:r>
        <w:rPr>
          <w:b/>
          <w:bCs/>
          <w:sz w:val="28"/>
          <w:szCs w:val="28"/>
        </w:rPr>
        <w:t>2. 선행연구 및 이론적 배경</w:t>
      </w:r>
      <w:bookmarkEnd w:id="4"/>
    </w:p>
    <w:p w14:paraId="6C37604D" w14:textId="77777777" w:rsidR="0030440B" w:rsidRDefault="00605F6E">
      <w:pPr>
        <w:pStyle w:val="2"/>
      </w:pPr>
      <w:bookmarkStart w:id="5" w:name="_Toc223089338"/>
      <w:r>
        <w:t>2.1 레포 시장 구조 및 결제 리스크 선행연구</w:t>
      </w:r>
      <w:bookmarkEnd w:id="5"/>
    </w:p>
    <w:p w14:paraId="6C376050" w14:textId="3574E971" w:rsidR="0030440B" w:rsidRDefault="00605F6E" w:rsidP="007F746D">
      <w:pPr>
        <w:ind w:firstLineChars="100" w:firstLine="240"/>
        <w:jc w:val="both"/>
      </w:pPr>
      <w:r>
        <w:t>레포 시장의 결제 리스크에 관한 연구는 2008년 글로벌 금융위기 이후 본격화되었다. Duffie(2020)는 미국 국채 레포 시장의 결제 실패(settlement fails)가 시스템 리스크로 전이되는 메커니즘을 분석하였으며</w:t>
      </w:r>
      <w:r>
        <w:rPr>
          <w:rStyle w:val="a6"/>
        </w:rPr>
        <w:footnoteReference w:id="7"/>
      </w:r>
      <w:r>
        <w:t>, BIS Working Paper No. 1090(2023)은 일중 유동성 시장의 구조와 overnight 시장과의 괴리를 분석하여 일중 유동성 수요가 전체 결제 대금의 15%를 차지함을 밝혔다.</w:t>
      </w:r>
      <w:r>
        <w:rPr>
          <w:rStyle w:val="a6"/>
        </w:rPr>
        <w:footnoteReference w:id="8"/>
      </w:r>
      <w:r>
        <w:rPr>
          <w:rFonts w:hint="eastAsia"/>
        </w:rPr>
        <w:t xml:space="preserve"> </w:t>
      </w:r>
      <w:r>
        <w:t>뉴욕 연준의 Liberty Street Economics(2022)는 'What Is Atomic Settlement?'에서 원자적 결제의 경</w:t>
      </w:r>
      <w:r>
        <w:lastRenderedPageBreak/>
        <w:t>제학적 정의와 편익을 분석하였으며</w:t>
      </w:r>
      <w:r>
        <w:rPr>
          <w:rStyle w:val="a6"/>
        </w:rPr>
        <w:footnoteReference w:id="9"/>
      </w:r>
      <w:r>
        <w:t>, Chainlink Research(2025)는 기술적 구현과 리스크 감소를 정량화하였다.</w:t>
      </w:r>
      <w:r>
        <w:rPr>
          <w:rStyle w:val="a6"/>
        </w:rPr>
        <w:footnoteReference w:id="10"/>
      </w:r>
    </w:p>
    <w:p w14:paraId="6C376051" w14:textId="77777777" w:rsidR="0030440B" w:rsidRDefault="0030440B"/>
    <w:p w14:paraId="6C376052" w14:textId="77777777" w:rsidR="0030440B" w:rsidRDefault="00605F6E">
      <w:pPr>
        <w:pStyle w:val="3"/>
      </w:pPr>
      <w:bookmarkStart w:id="6" w:name="_Toc223089339"/>
      <w:r>
        <w:t>레포 시장의 국내 구조적 특성</w:t>
      </w:r>
      <w:bookmarkEnd w:id="6"/>
    </w:p>
    <w:p w14:paraId="6C376055" w14:textId="241C2E9F" w:rsidR="0030440B" w:rsidRDefault="00605F6E" w:rsidP="007F746D">
      <w:pPr>
        <w:ind w:firstLineChars="100" w:firstLine="240"/>
        <w:jc w:val="both"/>
      </w:pPr>
      <w:r>
        <w:t>한국 레포 시장은 글로벌과 달리 다음과 같은 구조적 특성을 보인다. (1) KOFR 기반: 미국의 SOFR과 달리 KOFR은 한국은행이 산출하는 무위험지표금리로, 국내 정책금리와 밀접한 연동성을 가지며 시장 기반 금리 벤치마크로서의 신뢰도가 높다. (2) KSD 일원화: 한국예탁결제원이 결제 기관의 역할을 수행하여 시스템 리스크 관리가 집중화되어 있다. (3) 정책금융의 역할: 한국은행의 역레포 오퍼가 시장 유동성 조절의 주요 수단으로 작동한다. 이러한 국내 시장 특성을 반영하여 온체인 레포 설계에 KOFR 기반 CIR 금리 모델과 KSD 중심의 허가형 블록체인 아키텍처를 적용하였다.</w:t>
      </w:r>
    </w:p>
    <w:p w14:paraId="3C32F836" w14:textId="77777777" w:rsidR="009F1B87" w:rsidRDefault="009F1B87" w:rsidP="007F746D">
      <w:pPr>
        <w:ind w:firstLineChars="100" w:firstLine="240"/>
        <w:jc w:val="both"/>
      </w:pPr>
    </w:p>
    <w:p w14:paraId="6C376056" w14:textId="77777777" w:rsidR="0030440B" w:rsidRDefault="00605F6E">
      <w:pPr>
        <w:pStyle w:val="2"/>
      </w:pPr>
      <w:bookmarkStart w:id="7" w:name="_Toc223089340"/>
      <w:r>
        <w:t>2.2 블록체인 기반 결제 인프라 선행연구</w:t>
      </w:r>
      <w:bookmarkEnd w:id="7"/>
    </w:p>
    <w:p w14:paraId="6C376057" w14:textId="611C16A7" w:rsidR="0030440B" w:rsidRDefault="00605F6E" w:rsidP="00566D4C">
      <w:pPr>
        <w:ind w:firstLineChars="100" w:firstLine="240"/>
        <w:jc w:val="both"/>
      </w:pPr>
      <w:r>
        <w:t>GFMA-BCG Report(2025)는 DLT 도입 시 자본시장의 연간 100</w:t>
      </w:r>
      <w:r>
        <w:rPr>
          <w:rFonts w:hint="eastAsia"/>
        </w:rPr>
        <w:t>억</w:t>
      </w:r>
      <w:r>
        <w:t xml:space="preserve"> 달러</w:t>
      </w:r>
      <w:r>
        <w:rPr>
          <w:rFonts w:hint="eastAsia"/>
        </w:rPr>
        <w:t>를 초과하는 자본 해방</w:t>
      </w:r>
      <w:r>
        <w:t>을 추정하였다</w:t>
      </w:r>
      <w:r>
        <w:rPr>
          <w:rStyle w:val="a6"/>
        </w:rPr>
        <w:footnoteReference w:id="11"/>
      </w:r>
      <w:r>
        <w:t xml:space="preserve">. Broadridge(2025)는 DLR 플랫폼의 일중 레포 결제 실증 데이터를 제시하였으며, </w:t>
      </w:r>
      <w:r>
        <w:rPr>
          <w:rFonts w:hint="eastAsia"/>
        </w:rPr>
        <w:t xml:space="preserve">2025년 9월 </w:t>
      </w:r>
      <w:r>
        <w:t>월간 약 6조 달러 규모의 처리량을 달성하였다.</w:t>
      </w:r>
      <w:r>
        <w:rPr>
          <w:rStyle w:val="a6"/>
        </w:rPr>
        <w:footnoteReference w:id="12"/>
      </w:r>
      <w:r>
        <w:t xml:space="preserve"> Bank of England(2025)의 Project Meridian Securities 최종 보고서는 RTGS 위에 동기화 및 스마트 컨트랙트 레이어를 얹어 atomic DvP, intraday repo, programmable liquidity를 시연하였으며</w:t>
      </w:r>
      <w:r>
        <w:rPr>
          <w:rStyle w:val="a6"/>
        </w:rPr>
        <w:footnoteReference w:id="13"/>
      </w:r>
      <w:r>
        <w:t>, 이 구조는 본 연구에서 제안하는 KSD + 허가형 체인 아키텍처와 매우 유사한 방향이다.</w:t>
      </w:r>
    </w:p>
    <w:p w14:paraId="6C37605A" w14:textId="55573403" w:rsidR="0030440B" w:rsidRDefault="00605F6E" w:rsidP="00566D4C">
      <w:pPr>
        <w:ind w:firstLineChars="100" w:firstLine="240"/>
        <w:jc w:val="both"/>
      </w:pPr>
      <w:r>
        <w:t>국내 연구로는 이민혁 외(2025)의 '채권토큰의 경제성 분석'이 국채 STO의 비용 절감 및 유동성 증가를 계량 분석하여 토큰화 채권의 경제적 타당성을 제시하</w:t>
      </w:r>
      <w:r>
        <w:lastRenderedPageBreak/>
        <w:t>였다.</w:t>
      </w:r>
      <w:r>
        <w:rPr>
          <w:rStyle w:val="a6"/>
        </w:rPr>
        <w:footnoteReference w:id="14"/>
      </w:r>
      <w:r>
        <w:t xml:space="preserve"> SecFin Solutions(2025)은 ECB-HQLAx-Clearstream-Eurex Repo 파일럿을 사례로 들며 DLT 기반 atomic DvP repo가 결제리스크를 낮추고 효율을 높인다는 분석을 제공하였다.</w:t>
      </w:r>
      <w:r>
        <w:rPr>
          <w:rStyle w:val="a6"/>
        </w:rPr>
        <w:footnoteReference w:id="15"/>
      </w:r>
    </w:p>
    <w:p w14:paraId="6C37605B" w14:textId="77777777" w:rsidR="0030440B" w:rsidRDefault="00605F6E">
      <w:pPr>
        <w:pStyle w:val="3"/>
      </w:pPr>
      <w:bookmarkStart w:id="8" w:name="_Toc223089341"/>
      <w:r>
        <w:t>Hyperledger Besu와 Permissioned 블록체인 선택의 정당성</w:t>
      </w:r>
      <w:bookmarkEnd w:id="8"/>
    </w:p>
    <w:p w14:paraId="6C37605C" w14:textId="46127F6C" w:rsidR="0030440B" w:rsidRDefault="00605F6E" w:rsidP="00566D4C">
      <w:pPr>
        <w:ind w:firstLineChars="100" w:firstLine="240"/>
        <w:jc w:val="both"/>
      </w:pPr>
      <w:r>
        <w:t xml:space="preserve">본 연구가 공개 블록체인(Ethereum, Solana) 대신 Hyperledger Besu를 선택한 이유는 다음과 같다. (1) KYC/AML 준수: 금융 규제 요건상 참여자의 신원 확인과 거래 이력 추적이 필수적이며, permissioned 아키텍처가 이를 용이하게 한다. (2) 결제 완결성(finality): IBFT 2.0 합의 메커니즘은 약 2초 내 블록 완결을 보장하여 DvP의 원자성을 보증한다. (3) 성능: 초당 약 1,000건의 거래 처리 능력으로 국내 레포 시장 규모(일일 약 </w:t>
      </w:r>
      <w:r>
        <w:rPr>
          <w:rFonts w:hint="eastAsia"/>
        </w:rPr>
        <w:t>200</w:t>
      </w:r>
      <w:r>
        <w:t>조 원)를 충분히 감당할 수 있다. (4) EVM 호환성: Solidity 스마트 컨트랙트를 직접 배포 가능하여 기존 DeFi 생태계의 검증된 코드와 라이브러리를 활용 가능하다.</w:t>
      </w:r>
    </w:p>
    <w:p w14:paraId="7F27B0D7" w14:textId="77777777" w:rsidR="009F1B87" w:rsidRDefault="009F1B87" w:rsidP="00566D4C">
      <w:pPr>
        <w:ind w:firstLineChars="100" w:firstLine="240"/>
        <w:jc w:val="both"/>
      </w:pPr>
    </w:p>
    <w:p w14:paraId="6C37605D" w14:textId="77777777" w:rsidR="0030440B" w:rsidRDefault="00605F6E">
      <w:pPr>
        <w:pStyle w:val="2"/>
      </w:pPr>
      <w:bookmarkStart w:id="9" w:name="_Toc223089342"/>
      <w:r>
        <w:t>2.3 이론적 배경</w:t>
      </w:r>
      <w:bookmarkEnd w:id="9"/>
    </w:p>
    <w:p w14:paraId="6C37605E" w14:textId="344DE87F" w:rsidR="0030440B" w:rsidRDefault="00605F6E" w:rsidP="00566D6F">
      <w:pPr>
        <w:ind w:firstLineChars="100" w:firstLine="240"/>
        <w:jc w:val="both"/>
      </w:pPr>
      <w:r>
        <w:rPr>
          <w:b/>
          <w:bCs/>
        </w:rPr>
        <w:t xml:space="preserve">VaR(Value at Risk)와 결제 리스크: </w:t>
      </w:r>
      <w:r>
        <w:t>결제 대기 시간 Δt에 비례하여 Potential Exposure가 √Δt로 증가하는 이론적 근거는 JP Morgan RiskMetrics 모형에 기반한다.</w:t>
      </w:r>
      <w:r>
        <w:rPr>
          <w:rStyle w:val="a6"/>
        </w:rPr>
        <w:footnoteReference w:id="16"/>
      </w:r>
    </w:p>
    <w:p w14:paraId="6C376061" w14:textId="77777777" w:rsidR="0030440B" w:rsidRDefault="0030440B"/>
    <w:p w14:paraId="6C376062" w14:textId="0E681C5E" w:rsidR="0030440B" w:rsidRDefault="00605F6E" w:rsidP="00360CF5">
      <w:pPr>
        <w:ind w:firstLineChars="100" w:firstLine="240"/>
        <w:jc w:val="both"/>
      </w:pPr>
      <w:r>
        <w:rPr>
          <w:b/>
          <w:bCs/>
        </w:rPr>
        <w:t xml:space="preserve">CIR 금리 모형: </w:t>
      </w:r>
      <w:r>
        <w:t>KOFR의 확률적 변동을 모델링하기 위해 Cox-Ingersoll-Ross(1985) 모형을 적용한다</w:t>
      </w:r>
      <w:r>
        <w:rPr>
          <w:rStyle w:val="a6"/>
        </w:rPr>
        <w:footnoteReference w:id="17"/>
      </w:r>
      <w:r>
        <w:t>.</w:t>
      </w:r>
    </w:p>
    <w:p w14:paraId="6C376063" w14:textId="77777777" w:rsidR="0030440B" w:rsidRDefault="0030440B"/>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gridCol w:w="1500"/>
      </w:tblGrid>
      <w:tr w:rsidR="0030440B" w14:paraId="6C376066" w14:textId="77777777" w:rsidTr="00566D6F">
        <w:trPr>
          <w:jc w:val="center"/>
        </w:trPr>
        <w:tc>
          <w:tcPr>
            <w:tcW w:w="7500" w:type="dxa"/>
            <w:tcBorders>
              <w:top w:val="single" w:sz="2" w:space="0" w:color="795548"/>
              <w:bottom w:val="single" w:sz="2" w:space="0" w:color="795548"/>
            </w:tcBorders>
            <w:tcMar>
              <w:top w:w="80" w:type="dxa"/>
              <w:left w:w="120" w:type="dxa"/>
              <w:bottom w:w="80" w:type="dxa"/>
              <w:right w:w="40" w:type="dxa"/>
            </w:tcMar>
          </w:tcPr>
          <w:p w14:paraId="6C376064" w14:textId="77777777" w:rsidR="0030440B" w:rsidRDefault="00605F6E">
            <w:pPr>
              <w:jc w:val="center"/>
            </w:pPr>
            <w:r>
              <w:rPr>
                <w:sz w:val="22"/>
                <w:szCs w:val="22"/>
              </w:rPr>
              <w:t>dr(t) = κ(θ - r(t))dt + σ√r(t)dW(t)</w:t>
            </w:r>
          </w:p>
        </w:tc>
        <w:tc>
          <w:tcPr>
            <w:tcW w:w="1500" w:type="dxa"/>
            <w:tcBorders>
              <w:top w:val="single" w:sz="2" w:space="0" w:color="795548"/>
              <w:bottom w:val="single" w:sz="2" w:space="0" w:color="795548"/>
            </w:tcBorders>
            <w:tcMar>
              <w:top w:w="80" w:type="dxa"/>
              <w:left w:w="40" w:type="dxa"/>
              <w:bottom w:w="80" w:type="dxa"/>
              <w:right w:w="120" w:type="dxa"/>
            </w:tcMar>
          </w:tcPr>
          <w:p w14:paraId="6C376065" w14:textId="77777777" w:rsidR="0030440B" w:rsidRDefault="00605F6E" w:rsidP="00566D6F">
            <w:pPr>
              <w:jc w:val="center"/>
            </w:pPr>
            <w:r>
              <w:rPr>
                <w:b/>
                <w:bCs/>
                <w:sz w:val="20"/>
                <w:szCs w:val="20"/>
              </w:rPr>
              <w:t>(식 3)</w:t>
            </w:r>
          </w:p>
        </w:tc>
      </w:tr>
    </w:tbl>
    <w:p w14:paraId="6C376067" w14:textId="77777777" w:rsidR="0030440B" w:rsidRDefault="0030440B"/>
    <w:p w14:paraId="6C376069" w14:textId="4A57C36F" w:rsidR="0030440B" w:rsidRDefault="00605F6E" w:rsidP="00566D6F">
      <w:pPr>
        <w:ind w:firstLineChars="100" w:firstLine="240"/>
        <w:jc w:val="both"/>
      </w:pPr>
      <w:r>
        <w:t xml:space="preserve">여기서 κ는 평균회귀 속도, θ는 장기 평균 금리, σ는 변동성 계수, W(t)는 </w:t>
      </w:r>
      <w:r>
        <w:lastRenderedPageBreak/>
        <w:t>위너 과정이다. CIR 모형은 금리가 음수가 되지 않는 특성(2κθ &gt; σ²)을 보장하여 KOFR 모델링에 적합하다.</w:t>
      </w:r>
    </w:p>
    <w:p w14:paraId="2537307C" w14:textId="77777777" w:rsidR="00360CF5" w:rsidRDefault="00360CF5" w:rsidP="00566D6F">
      <w:pPr>
        <w:ind w:firstLineChars="100" w:firstLine="240"/>
        <w:jc w:val="both"/>
      </w:pPr>
    </w:p>
    <w:p w14:paraId="6C37606A" w14:textId="77777777" w:rsidR="0030440B" w:rsidRDefault="00605F6E">
      <w:pPr>
        <w:pStyle w:val="3"/>
      </w:pPr>
      <w:bookmarkStart w:id="10" w:name="_Toc223089343"/>
      <w:r>
        <w:t>원자적 결제(Atomic DvP)의 학술적 정의</w:t>
      </w:r>
      <w:bookmarkEnd w:id="10"/>
    </w:p>
    <w:p w14:paraId="6C37606B" w14:textId="57EA9AFD" w:rsidR="0030440B" w:rsidRDefault="00605F6E" w:rsidP="00566D6F">
      <w:pPr>
        <w:ind w:firstLineChars="100" w:firstLine="240"/>
        <w:jc w:val="both"/>
      </w:pPr>
      <w:r>
        <w:t>Atomic DvP(Delivery-versus-Payment)는 금전(A) 이전과 증권(B) 이전이 단일 블록체인 트랜잭션 내에서 모두 성공하거나 모두 실패하는 특성을 의미한다. 본 연구의 context에서 스마트 컨트랙트 레벨의 원자성은 EVM 스택 머신의 'all-or-nothing' 실행 보장을 활용하여 구현된다. 이는 기존 Tri-party 결제에서 발생하는 부분 결제(partial settlement) 리스크를 원천적으로 제거한다.</w:t>
      </w:r>
      <w:r>
        <w:rPr>
          <w:rStyle w:val="a6"/>
        </w:rPr>
        <w:footnoteReference w:id="18"/>
      </w:r>
    </w:p>
    <w:p w14:paraId="3797E833" w14:textId="77777777" w:rsidR="00710341" w:rsidRDefault="00710341" w:rsidP="00710341">
      <w:bookmarkStart w:id="11" w:name="_Toc223089344"/>
    </w:p>
    <w:p w14:paraId="6C37606D" w14:textId="671BFBCD" w:rsidR="0030440B" w:rsidRDefault="00605F6E" w:rsidP="00710341">
      <w:r>
        <w:rPr>
          <w:b/>
          <w:bCs/>
          <w:sz w:val="28"/>
          <w:szCs w:val="28"/>
        </w:rPr>
        <w:t>3. 연구설계 및 방법론</w:t>
      </w:r>
      <w:bookmarkEnd w:id="11"/>
    </w:p>
    <w:p w14:paraId="6C37606E" w14:textId="77777777" w:rsidR="0030440B" w:rsidRDefault="00605F6E">
      <w:pPr>
        <w:pStyle w:val="2"/>
      </w:pPr>
      <w:bookmarkStart w:id="12" w:name="_Toc223089345"/>
      <w:r>
        <w:t>3.1 총 경제적 편익(TEB) 모델 구축</w:t>
      </w:r>
      <w:bookmarkEnd w:id="12"/>
    </w:p>
    <w:p w14:paraId="6C37606F" w14:textId="09880ED8" w:rsidR="0030440B" w:rsidRPr="00F76D21" w:rsidRDefault="00605F6E" w:rsidP="00F76D21">
      <w:pPr>
        <w:ind w:firstLineChars="100" w:firstLine="240"/>
        <w:jc w:val="both"/>
        <w:rPr>
          <w:sz w:val="22"/>
          <w:szCs w:val="22"/>
        </w:rPr>
      </w:pPr>
      <w:proofErr w:type="spellStart"/>
      <w:r>
        <w:t>온체인</w:t>
      </w:r>
      <w:proofErr w:type="spellEnd"/>
      <w:r>
        <w:t xml:space="preserve"> </w:t>
      </w:r>
      <w:proofErr w:type="spellStart"/>
      <w:r>
        <w:t>레포</w:t>
      </w:r>
      <w:proofErr w:type="spellEnd"/>
      <w:r>
        <w:t xml:space="preserve"> 도입의 경제적 편익을 </w:t>
      </w:r>
      <w:r>
        <w:rPr>
          <w:rFonts w:hint="eastAsia"/>
        </w:rPr>
        <w:t xml:space="preserve">수치적으로 나타내기 위해서 </w:t>
      </w:r>
      <w:r>
        <w:t xml:space="preserve">총 </w:t>
      </w:r>
      <w:r w:rsidRPr="008A707B">
        <w:t>경제적 편익(Total Economic Benefit, TEB) 모델</w:t>
      </w:r>
      <w:r w:rsidRPr="008A707B">
        <w:rPr>
          <w:rFonts w:hint="eastAsia"/>
        </w:rPr>
        <w:t>을 정의하고, 이를 통해 경제적 효과를</w:t>
      </w:r>
      <w:r w:rsidRPr="008A707B">
        <w:t xml:space="preserve"> 정량화한다. TEB를 </w:t>
      </w:r>
      <w:r w:rsidRPr="008A707B">
        <w:rPr>
          <w:rFonts w:hint="eastAsia"/>
        </w:rPr>
        <w:t>3개</w:t>
      </w:r>
      <w:r w:rsidRPr="008A707B">
        <w:t>의 독립적 편익 채널로 분해하여 분석한다. = Π(liquidity)</w:t>
      </w:r>
      <w:r w:rsidRPr="008A707B">
        <w:rPr>
          <w:rFonts w:hint="eastAsia"/>
        </w:rPr>
        <w:t>,</w:t>
      </w:r>
      <w:r w:rsidRPr="008A707B">
        <w:t>Π(haircut)</w:t>
      </w:r>
      <w:r w:rsidRPr="008A707B">
        <w:rPr>
          <w:rFonts w:hint="eastAsia"/>
        </w:rPr>
        <w:t>,</w:t>
      </w:r>
      <w:r w:rsidRPr="008A707B">
        <w:t>Π(buffer)</w:t>
      </w:r>
      <w:r w:rsidRPr="008A707B">
        <w:rPr>
          <w:rFonts w:hint="eastAsia"/>
        </w:rPr>
        <w:t>에 대해서는 바로 밑에서 다룰 예정이다.</w:t>
      </w:r>
      <w:r w:rsidR="005D0301" w:rsidRPr="008A707B">
        <w:rPr>
          <w:rFonts w:hint="eastAsia"/>
        </w:rPr>
        <w:t xml:space="preserve">이 논문에서는 </w:t>
      </w:r>
      <w:proofErr w:type="spellStart"/>
      <w:r w:rsidR="008A707B">
        <w:rPr>
          <w:rFonts w:hint="eastAsia"/>
        </w:rPr>
        <w:t>온체인</w:t>
      </w:r>
      <w:proofErr w:type="spellEnd"/>
      <w:r w:rsidR="008A707B">
        <w:rPr>
          <w:rFonts w:hint="eastAsia"/>
        </w:rPr>
        <w:t xml:space="preserve"> </w:t>
      </w:r>
      <w:proofErr w:type="spellStart"/>
      <w:r w:rsidR="008A707B">
        <w:rPr>
          <w:rFonts w:hint="eastAsia"/>
        </w:rPr>
        <w:t>레포로</w:t>
      </w:r>
      <w:proofErr w:type="spellEnd"/>
      <w:r w:rsidR="008A707B">
        <w:rPr>
          <w:rFonts w:hint="eastAsia"/>
        </w:rPr>
        <w:t xml:space="preserve"> 절약된 정산</w:t>
      </w:r>
      <w:r w:rsidR="005D0301" w:rsidRPr="008A707B">
        <w:t xml:space="preserve"> 시간</w:t>
      </w:r>
      <w:r w:rsidR="005D0301" w:rsidRPr="008A707B">
        <w:rPr>
          <w:rFonts w:hint="eastAsia"/>
        </w:rPr>
        <w:t xml:space="preserve">을 13시간으로 가정한다. 왜냐하면 </w:t>
      </w:r>
      <w:proofErr w:type="spellStart"/>
      <w:r w:rsidR="005D0301" w:rsidRPr="008A707B">
        <w:rPr>
          <w:rFonts w:hint="eastAsia"/>
        </w:rPr>
        <w:t>온체인</w:t>
      </w:r>
      <w:proofErr w:type="spellEnd"/>
      <w:r w:rsidR="005D0301" w:rsidRPr="008A707B">
        <w:rPr>
          <w:rFonts w:hint="eastAsia"/>
        </w:rPr>
        <w:t xml:space="preserve"> </w:t>
      </w:r>
      <w:proofErr w:type="spellStart"/>
      <w:r w:rsidR="005D0301" w:rsidRPr="008A707B">
        <w:rPr>
          <w:rFonts w:hint="eastAsia"/>
        </w:rPr>
        <w:t>레포거래가</w:t>
      </w:r>
      <w:proofErr w:type="spellEnd"/>
      <w:r w:rsidR="005D0301">
        <w:rPr>
          <w:rFonts w:hint="eastAsia"/>
        </w:rPr>
        <w:t xml:space="preserve"> 장중에서 </w:t>
      </w:r>
      <w:proofErr w:type="spellStart"/>
      <w:r w:rsidR="005D0301">
        <w:rPr>
          <w:rFonts w:hint="eastAsia"/>
        </w:rPr>
        <w:t>레포거래를</w:t>
      </w:r>
      <w:proofErr w:type="spellEnd"/>
      <w:r w:rsidR="005D0301">
        <w:rPr>
          <w:rFonts w:hint="eastAsia"/>
        </w:rPr>
        <w:t xml:space="preserve"> 마무리 지을 수 있다는 장점이 있기 때문에 보수적으로 절약되는 시간을 13시간으로 가정한다.</w:t>
      </w:r>
    </w:p>
    <w:p w14:paraId="6C376070" w14:textId="77777777" w:rsidR="0030440B" w:rsidRDefault="0030440B"/>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gridCol w:w="1500"/>
      </w:tblGrid>
      <w:tr w:rsidR="0030440B" w14:paraId="6C376073" w14:textId="77777777">
        <w:tc>
          <w:tcPr>
            <w:tcW w:w="7500" w:type="dxa"/>
            <w:tcBorders>
              <w:top w:val="single" w:sz="2" w:space="0" w:color="795548"/>
              <w:bottom w:val="single" w:sz="2" w:space="0" w:color="795548"/>
            </w:tcBorders>
            <w:tcMar>
              <w:top w:w="80" w:type="dxa"/>
              <w:left w:w="120" w:type="dxa"/>
              <w:bottom w:w="80" w:type="dxa"/>
              <w:right w:w="40" w:type="dxa"/>
            </w:tcMar>
          </w:tcPr>
          <w:p w14:paraId="6C376071" w14:textId="50E94891" w:rsidR="0030440B" w:rsidRDefault="00605F6E">
            <w:pPr>
              <w:jc w:val="center"/>
            </w:pPr>
            <w:r>
              <w:rPr>
                <w:sz w:val="22"/>
                <w:szCs w:val="22"/>
              </w:rPr>
              <w:t xml:space="preserve">TEB = Π(liquidity) + Π(haircut) + Π(buffer) </w:t>
            </w:r>
          </w:p>
        </w:tc>
        <w:tc>
          <w:tcPr>
            <w:tcW w:w="1500" w:type="dxa"/>
            <w:tcBorders>
              <w:top w:val="single" w:sz="2" w:space="0" w:color="795548"/>
              <w:bottom w:val="single" w:sz="2" w:space="0" w:color="795548"/>
            </w:tcBorders>
            <w:tcMar>
              <w:top w:w="80" w:type="dxa"/>
              <w:left w:w="40" w:type="dxa"/>
              <w:bottom w:w="80" w:type="dxa"/>
              <w:right w:w="120" w:type="dxa"/>
            </w:tcMar>
          </w:tcPr>
          <w:p w14:paraId="6C376072" w14:textId="77777777" w:rsidR="0030440B" w:rsidRDefault="00605F6E" w:rsidP="00566D6F">
            <w:pPr>
              <w:jc w:val="center"/>
            </w:pPr>
            <w:r>
              <w:rPr>
                <w:b/>
                <w:bCs/>
                <w:sz w:val="20"/>
                <w:szCs w:val="20"/>
              </w:rPr>
              <w:t>(식 4)</w:t>
            </w:r>
          </w:p>
        </w:tc>
      </w:tr>
    </w:tbl>
    <w:p w14:paraId="6C376074" w14:textId="77777777" w:rsidR="0030440B" w:rsidRDefault="0030440B"/>
    <w:p w14:paraId="6C376075" w14:textId="77777777" w:rsidR="0030440B" w:rsidRDefault="00605F6E">
      <w:pPr>
        <w:pStyle w:val="3"/>
      </w:pPr>
      <w:bookmarkStart w:id="13" w:name="_Toc223089346"/>
      <w:r>
        <w:t>채널 1: 유동성 조기 회수 수익</w:t>
      </w:r>
      <w:bookmarkEnd w:id="13"/>
    </w:p>
    <w:p w14:paraId="6C376076" w14:textId="77777777" w:rsidR="0030440B" w:rsidRDefault="00605F6E" w:rsidP="00D5317F">
      <w:pPr>
        <w:ind w:firstLineChars="100" w:firstLine="240"/>
        <w:jc w:val="both"/>
      </w:pPr>
      <w:r>
        <w:t>온체인 레포를 통해 T+1에서 T+0로 전환 시, 조기 회수된 유동성을 KOFR에 재투자하여 얻는 초과 수익이다.</w:t>
      </w:r>
    </w:p>
    <w:p w14:paraId="6C376077" w14:textId="77777777" w:rsidR="0030440B" w:rsidRDefault="0030440B"/>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gridCol w:w="1500"/>
      </w:tblGrid>
      <w:tr w:rsidR="0030440B" w14:paraId="6C37607A" w14:textId="77777777">
        <w:tc>
          <w:tcPr>
            <w:tcW w:w="7500" w:type="dxa"/>
            <w:tcBorders>
              <w:top w:val="single" w:sz="2" w:space="0" w:color="795548"/>
              <w:bottom w:val="single" w:sz="2" w:space="0" w:color="795548"/>
            </w:tcBorders>
            <w:tcMar>
              <w:top w:w="80" w:type="dxa"/>
              <w:left w:w="120" w:type="dxa"/>
              <w:bottom w:w="80" w:type="dxa"/>
              <w:right w:w="40" w:type="dxa"/>
            </w:tcMar>
          </w:tcPr>
          <w:p w14:paraId="6C376078" w14:textId="77777777" w:rsidR="0030440B" w:rsidRDefault="00605F6E">
            <w:pPr>
              <w:jc w:val="center"/>
            </w:pPr>
            <w:r>
              <w:rPr>
                <w:sz w:val="22"/>
                <w:szCs w:val="22"/>
              </w:rPr>
              <w:lastRenderedPageBreak/>
              <w:t>Π(liquidity) = Σ V(t) × (r(kofr,t)/365) × (Δh(t)/24) × 252</w:t>
            </w:r>
          </w:p>
        </w:tc>
        <w:tc>
          <w:tcPr>
            <w:tcW w:w="1500" w:type="dxa"/>
            <w:tcBorders>
              <w:top w:val="single" w:sz="2" w:space="0" w:color="795548"/>
              <w:bottom w:val="single" w:sz="2" w:space="0" w:color="795548"/>
            </w:tcBorders>
            <w:tcMar>
              <w:top w:w="80" w:type="dxa"/>
              <w:left w:w="40" w:type="dxa"/>
              <w:bottom w:w="80" w:type="dxa"/>
              <w:right w:w="120" w:type="dxa"/>
            </w:tcMar>
          </w:tcPr>
          <w:p w14:paraId="6C376079" w14:textId="77777777" w:rsidR="0030440B" w:rsidRDefault="00605F6E" w:rsidP="00A203DF">
            <w:pPr>
              <w:jc w:val="center"/>
            </w:pPr>
            <w:r>
              <w:rPr>
                <w:b/>
                <w:bCs/>
                <w:sz w:val="20"/>
                <w:szCs w:val="20"/>
              </w:rPr>
              <w:t>(식 5)</w:t>
            </w:r>
          </w:p>
        </w:tc>
      </w:tr>
    </w:tbl>
    <w:p w14:paraId="6C37607B" w14:textId="77777777" w:rsidR="0030440B" w:rsidRDefault="0030440B"/>
    <w:p w14:paraId="6C37607C" w14:textId="7B4726B4" w:rsidR="0030440B" w:rsidRDefault="00605F6E" w:rsidP="00D5317F">
      <w:pPr>
        <w:ind w:firstLineChars="100" w:firstLine="240"/>
        <w:jc w:val="both"/>
      </w:pPr>
      <w:r>
        <w:t xml:space="preserve">V(t)는 t일의 레포 거래 대금(일평균 약 </w:t>
      </w:r>
      <w:r>
        <w:rPr>
          <w:rFonts w:hint="eastAsia"/>
        </w:rPr>
        <w:t>200조</w:t>
      </w:r>
      <w:r>
        <w:t xml:space="preserve"> 원 가정)</w:t>
      </w:r>
      <w:r>
        <w:rPr>
          <w:rStyle w:val="a6"/>
        </w:rPr>
        <w:footnoteReference w:id="19"/>
      </w:r>
      <w:r>
        <w:t>, r(kofr,t)는 t일의 KOFR, Δh(t)는 절약된 결제 시간(시간 단위, 기본 가정: T+1(24h) → T+0(</w:t>
      </w:r>
      <w:r w:rsidR="005D0301">
        <w:rPr>
          <w:rFonts w:hint="eastAsia"/>
        </w:rPr>
        <w:t>11</w:t>
      </w:r>
      <w:r>
        <w:t xml:space="preserve">h), </w:t>
      </w:r>
      <w:proofErr w:type="spellStart"/>
      <w:r>
        <w:t>Δh</w:t>
      </w:r>
      <w:proofErr w:type="spellEnd"/>
      <w:r>
        <w:t>=</w:t>
      </w:r>
      <w:r w:rsidR="005D0301">
        <w:rPr>
          <w:rFonts w:hint="eastAsia"/>
        </w:rPr>
        <w:t>13</w:t>
      </w:r>
      <w:r>
        <w:t>h)이다. 경제적 직관: T+1 체계에서는 담보 인도 후 T+1에 현금을 받으므로 평균 1일(또는 2일)의 유동성 락-업이 발생한다. 온체인 T+0는 거래 당일 또는 수시간 내 결제되므로, 이 시간 차이 동안 재투자 수익이 발생한다.</w:t>
      </w:r>
    </w:p>
    <w:p w14:paraId="2573F047" w14:textId="77777777" w:rsidR="009F1B87" w:rsidRDefault="009F1B87" w:rsidP="00D5317F">
      <w:pPr>
        <w:ind w:firstLineChars="100" w:firstLine="240"/>
        <w:jc w:val="both"/>
      </w:pPr>
    </w:p>
    <w:p w14:paraId="6C37607D" w14:textId="77777777" w:rsidR="0030440B" w:rsidRDefault="00605F6E">
      <w:pPr>
        <w:pStyle w:val="3"/>
      </w:pPr>
      <w:bookmarkStart w:id="14" w:name="_Toc223089347"/>
      <w:r>
        <w:t>채널 2: 헤어컷 최적화에 따른 담보 해방 수익</w:t>
      </w:r>
      <w:bookmarkEnd w:id="14"/>
    </w:p>
    <w:p w14:paraId="6C37607E" w14:textId="77777777" w:rsidR="0030440B" w:rsidRDefault="00605F6E" w:rsidP="00D5317F">
      <w:pPr>
        <w:ind w:firstLineChars="100" w:firstLine="240"/>
        <w:jc w:val="both"/>
      </w:pPr>
      <w:r>
        <w:t>일중 결제는 담보의 장중 변동성(Intraday Volatility)만 반영하므로, 전통적 T+1 대비 헤어컷을 축소할 수 있다.</w:t>
      </w:r>
    </w:p>
    <w:p w14:paraId="6C37607F" w14:textId="77777777" w:rsidR="0030440B" w:rsidRDefault="0030440B"/>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gridCol w:w="1500"/>
      </w:tblGrid>
      <w:tr w:rsidR="0030440B" w14:paraId="6C376082" w14:textId="77777777">
        <w:tc>
          <w:tcPr>
            <w:tcW w:w="7500" w:type="dxa"/>
            <w:tcBorders>
              <w:top w:val="single" w:sz="2" w:space="0" w:color="795548"/>
              <w:bottom w:val="single" w:sz="2" w:space="0" w:color="795548"/>
            </w:tcBorders>
            <w:tcMar>
              <w:top w:w="80" w:type="dxa"/>
              <w:left w:w="120" w:type="dxa"/>
              <w:bottom w:w="80" w:type="dxa"/>
              <w:right w:w="40" w:type="dxa"/>
            </w:tcMar>
          </w:tcPr>
          <w:p w14:paraId="6C376080" w14:textId="77777777" w:rsidR="0030440B" w:rsidRDefault="00605F6E">
            <w:pPr>
              <w:jc w:val="center"/>
            </w:pPr>
            <w:r>
              <w:rPr>
                <w:sz w:val="22"/>
                <w:szCs w:val="22"/>
              </w:rPr>
              <w:t>Π(haircut) = Σ V(t) × (H(T+1) - H(T+0)) × (r(repo,t)/365) × 252</w:t>
            </w:r>
          </w:p>
        </w:tc>
        <w:tc>
          <w:tcPr>
            <w:tcW w:w="1500" w:type="dxa"/>
            <w:tcBorders>
              <w:top w:val="single" w:sz="2" w:space="0" w:color="795548"/>
              <w:bottom w:val="single" w:sz="2" w:space="0" w:color="795548"/>
            </w:tcBorders>
            <w:tcMar>
              <w:top w:w="80" w:type="dxa"/>
              <w:left w:w="40" w:type="dxa"/>
              <w:bottom w:w="80" w:type="dxa"/>
              <w:right w:w="120" w:type="dxa"/>
            </w:tcMar>
          </w:tcPr>
          <w:p w14:paraId="6C376081" w14:textId="77777777" w:rsidR="0030440B" w:rsidRDefault="00605F6E" w:rsidP="00B0355B">
            <w:pPr>
              <w:jc w:val="center"/>
            </w:pPr>
            <w:r>
              <w:rPr>
                <w:b/>
                <w:bCs/>
                <w:sz w:val="20"/>
                <w:szCs w:val="20"/>
              </w:rPr>
              <w:t>(식 6)</w:t>
            </w:r>
          </w:p>
        </w:tc>
      </w:tr>
    </w:tbl>
    <w:p w14:paraId="6C376083" w14:textId="77777777" w:rsidR="0030440B" w:rsidRDefault="0030440B"/>
    <w:p w14:paraId="6C376084" w14:textId="77777777" w:rsidR="0030440B" w:rsidRDefault="00605F6E">
      <w:pPr>
        <w:jc w:val="both"/>
      </w:pPr>
      <w:r>
        <w:t>헤어컷 축소의 이론적 근거는 가격 변동의 기하 브라운 운동 가정에서 도출된다.</w:t>
      </w:r>
    </w:p>
    <w:p w14:paraId="6C376085" w14:textId="77777777" w:rsidR="0030440B" w:rsidRDefault="0030440B"/>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gridCol w:w="1500"/>
      </w:tblGrid>
      <w:tr w:rsidR="0030440B" w14:paraId="6C376088" w14:textId="77777777">
        <w:tc>
          <w:tcPr>
            <w:tcW w:w="7500" w:type="dxa"/>
            <w:tcBorders>
              <w:top w:val="single" w:sz="2" w:space="0" w:color="795548"/>
              <w:bottom w:val="single" w:sz="2" w:space="0" w:color="795548"/>
            </w:tcBorders>
            <w:tcMar>
              <w:top w:w="80" w:type="dxa"/>
              <w:left w:w="120" w:type="dxa"/>
              <w:bottom w:w="80" w:type="dxa"/>
              <w:right w:w="40" w:type="dxa"/>
            </w:tcMar>
          </w:tcPr>
          <w:p w14:paraId="6C376086" w14:textId="2F1F5157" w:rsidR="0030440B" w:rsidRDefault="00605F6E">
            <w:pPr>
              <w:jc w:val="center"/>
            </w:pPr>
            <w:r>
              <w:rPr>
                <w:sz w:val="22"/>
                <w:szCs w:val="22"/>
              </w:rPr>
              <w:t>H(T+0)/H(T+1) = √(</w:t>
            </w:r>
            <w:r w:rsidR="0075011E">
              <w:rPr>
                <w:rFonts w:hint="eastAsia"/>
                <w:sz w:val="22"/>
                <w:szCs w:val="22"/>
              </w:rPr>
              <w:t>11</w:t>
            </w:r>
            <w:r>
              <w:rPr>
                <w:sz w:val="22"/>
                <w:szCs w:val="22"/>
              </w:rPr>
              <w:t>h/24h) ≈ 0.</w:t>
            </w:r>
            <w:r w:rsidR="008A707B">
              <w:rPr>
                <w:rFonts w:hint="eastAsia"/>
                <w:sz w:val="22"/>
                <w:szCs w:val="22"/>
              </w:rPr>
              <w:t>677</w:t>
            </w:r>
          </w:p>
        </w:tc>
        <w:tc>
          <w:tcPr>
            <w:tcW w:w="1500" w:type="dxa"/>
            <w:tcBorders>
              <w:top w:val="single" w:sz="2" w:space="0" w:color="795548"/>
              <w:bottom w:val="single" w:sz="2" w:space="0" w:color="795548"/>
            </w:tcBorders>
            <w:tcMar>
              <w:top w:w="80" w:type="dxa"/>
              <w:left w:w="40" w:type="dxa"/>
              <w:bottom w:w="80" w:type="dxa"/>
              <w:right w:w="120" w:type="dxa"/>
            </w:tcMar>
          </w:tcPr>
          <w:p w14:paraId="6C376087" w14:textId="77777777" w:rsidR="0030440B" w:rsidRDefault="00605F6E" w:rsidP="00AF7109">
            <w:pPr>
              <w:jc w:val="center"/>
            </w:pPr>
            <w:r>
              <w:rPr>
                <w:b/>
                <w:bCs/>
                <w:sz w:val="20"/>
                <w:szCs w:val="20"/>
              </w:rPr>
              <w:t>(식 7)</w:t>
            </w:r>
          </w:p>
        </w:tc>
      </w:tr>
    </w:tbl>
    <w:p w14:paraId="6C376089" w14:textId="77777777" w:rsidR="0030440B" w:rsidRDefault="0030440B"/>
    <w:p w14:paraId="0CA449E6" w14:textId="7AF87E04" w:rsidR="0000585E" w:rsidRDefault="00605F6E" w:rsidP="002E7573">
      <w:pPr>
        <w:ind w:firstLineChars="100" w:firstLine="240"/>
        <w:jc w:val="both"/>
      </w:pPr>
      <w:r>
        <w:t>Basel III CRE22 기준</w:t>
      </w:r>
      <w:r w:rsidR="00771326">
        <w:rPr>
          <w:rStyle w:val="a6"/>
        </w:rPr>
        <w:footnoteReference w:id="20"/>
      </w:r>
      <w:r>
        <w:t xml:space="preserve">을 적용하면, KSD 2025년 4분기 담보 구성 비중(국채 53.85%, 금융채 27.85%, </w:t>
      </w:r>
      <w:proofErr w:type="spellStart"/>
      <w:r>
        <w:t>특수채</w:t>
      </w:r>
      <w:proofErr w:type="spellEnd"/>
      <w:r>
        <w:t xml:space="preserve"> 10.04%, 회사채 2.81%)에 따른 가중평균 T+1 </w:t>
      </w:r>
      <w:proofErr w:type="spellStart"/>
      <w:r>
        <w:t>헤어컷은</w:t>
      </w:r>
      <w:proofErr w:type="spellEnd"/>
      <w:r>
        <w:t xml:space="preserve"> 4.40%</w:t>
      </w:r>
      <w:r w:rsidR="002A47FE">
        <w:t xml:space="preserve"> </w:t>
      </w:r>
      <w:r>
        <w:t>이다.</w:t>
      </w:r>
      <w:r w:rsidR="002E7573">
        <w:rPr>
          <w:rFonts w:hint="eastAsia"/>
        </w:rPr>
        <w:t xml:space="preserve"> 각 채권별 가중치는 </w:t>
      </w:r>
      <w:r w:rsidR="002E7573">
        <w:t>Basel III CRE22</w:t>
      </w:r>
      <w:r w:rsidR="002E7573">
        <w:rPr>
          <w:rFonts w:hint="eastAsia"/>
        </w:rPr>
        <w:t xml:space="preserve"> 기준으로 보수적으로 잡았다.</w:t>
      </w:r>
    </w:p>
    <w:p w14:paraId="0AD3D79B" w14:textId="266FBC35" w:rsidR="002E7573" w:rsidRPr="002E7573" w:rsidRDefault="002E7573" w:rsidP="0000585E">
      <w:pPr>
        <w:ind w:firstLineChars="100" w:firstLine="240"/>
        <w:jc w:val="both"/>
        <w:rPr>
          <w:color w:val="000000" w:themeColor="text1"/>
        </w:rPr>
      </w:pPr>
      <w:r w:rsidRPr="002B5095">
        <w:rPr>
          <w:color w:val="000000" w:themeColor="text1"/>
        </w:rPr>
        <w:t>한국 국고채는</w:t>
      </w:r>
      <w:r w:rsidRPr="002B5095">
        <w:rPr>
          <w:rFonts w:hint="eastAsia"/>
          <w:color w:val="000000" w:themeColor="text1"/>
        </w:rPr>
        <w:t xml:space="preserve"> </w:t>
      </w:r>
      <w:r w:rsidRPr="002B5095">
        <w:rPr>
          <w:color w:val="000000" w:themeColor="text1"/>
        </w:rPr>
        <w:t>한국 신용등급 AA(Moody's Aa</w:t>
      </w:r>
      <w:r w:rsidRPr="002B5095">
        <w:rPr>
          <w:rFonts w:hint="eastAsia"/>
          <w:color w:val="000000" w:themeColor="text1"/>
        </w:rPr>
        <w:t>)이고,</w:t>
      </w:r>
      <w:r w:rsidRPr="002B5095">
        <w:rPr>
          <w:color w:val="000000" w:themeColor="text1"/>
        </w:rPr>
        <w:t xml:space="preserve"> AAA-AA </w:t>
      </w:r>
      <w:proofErr w:type="spellStart"/>
      <w:r w:rsidRPr="002B5095">
        <w:rPr>
          <w:color w:val="000000" w:themeColor="text1"/>
        </w:rPr>
        <w:t>sovereig</w:t>
      </w:r>
      <w:proofErr w:type="spellEnd"/>
      <w:r w:rsidR="0000585E" w:rsidRPr="002B5095">
        <w:rPr>
          <w:rFonts w:hint="eastAsia"/>
          <w:color w:val="000000" w:themeColor="text1"/>
        </w:rPr>
        <w:t>은 10년물일 때 4%고,</w:t>
      </w:r>
      <w:r w:rsidRPr="002B5095">
        <w:rPr>
          <w:color w:val="000000" w:themeColor="text1"/>
        </w:rPr>
        <w:t xml:space="preserve"> 만약 3년물 위주라면 2%이지만, 보수적으로 4% 적용</w:t>
      </w:r>
      <w:r w:rsidR="0000585E" w:rsidRPr="002B5095">
        <w:rPr>
          <w:rFonts w:hint="eastAsia"/>
          <w:color w:val="000000" w:themeColor="text1"/>
        </w:rPr>
        <w:t xml:space="preserve">했다. </w:t>
      </w:r>
      <w:r w:rsidRPr="002E7573">
        <w:rPr>
          <w:color w:val="000000" w:themeColor="text1"/>
        </w:rPr>
        <w:t xml:space="preserve">은행채는 </w:t>
      </w:r>
      <w:r w:rsidRPr="002E7573">
        <w:rPr>
          <w:color w:val="000000" w:themeColor="text1"/>
        </w:rPr>
        <w:lastRenderedPageBreak/>
        <w:t>실제 AA~A+ 등급이지만, "Other issuers" A+ to BBB- 행의 &gt;3yr≤5yr = 6% 적용</w:t>
      </w:r>
      <w:r w:rsidR="0000585E" w:rsidRPr="002B5095">
        <w:rPr>
          <w:rFonts w:hint="eastAsia"/>
          <w:color w:val="000000" w:themeColor="text1"/>
        </w:rPr>
        <w:t>을 적용하였다.</w:t>
      </w:r>
      <w:r w:rsidRPr="002E7573">
        <w:rPr>
          <w:color w:val="000000" w:themeColor="text1"/>
        </w:rPr>
        <w:t xml:space="preserve"> AAA-AA 행으로 잡으면 4%인데 한 단계 보수적으로</w:t>
      </w:r>
      <w:r w:rsidR="0000585E" w:rsidRPr="002B5095">
        <w:rPr>
          <w:rFonts w:hint="eastAsia"/>
          <w:color w:val="000000" w:themeColor="text1"/>
        </w:rPr>
        <w:t xml:space="preserve"> 잡았다. </w:t>
      </w:r>
      <w:r w:rsidRPr="002E7573">
        <w:rPr>
          <w:color w:val="000000" w:themeColor="text1"/>
        </w:rPr>
        <w:t xml:space="preserve">KDB, 수출입은행, </w:t>
      </w:r>
      <w:proofErr w:type="spellStart"/>
      <w:r w:rsidR="0000585E" w:rsidRPr="002B5095">
        <w:rPr>
          <w:rFonts w:hint="eastAsia"/>
          <w:color w:val="000000" w:themeColor="text1"/>
        </w:rPr>
        <w:t>주금공</w:t>
      </w:r>
      <w:proofErr w:type="spellEnd"/>
      <w:r w:rsidR="0000585E" w:rsidRPr="002B5095">
        <w:rPr>
          <w:rFonts w:hint="eastAsia"/>
          <w:color w:val="000000" w:themeColor="text1"/>
        </w:rPr>
        <w:t xml:space="preserve"> 등과 같은 특수채는</w:t>
      </w:r>
      <w:r w:rsidRPr="002E7573">
        <w:rPr>
          <w:color w:val="000000" w:themeColor="text1"/>
        </w:rPr>
        <w:t xml:space="preserve"> CRE22.51에서 PSE로 sovereign 처리 가능하나, 보수적으로 "Other issuers" AAA-AA 행 적</w:t>
      </w:r>
      <w:r w:rsidR="0000585E" w:rsidRPr="002B5095">
        <w:rPr>
          <w:rFonts w:hint="eastAsia"/>
          <w:color w:val="000000" w:themeColor="text1"/>
        </w:rPr>
        <w:t xml:space="preserve">용하여 </w:t>
      </w:r>
      <w:r w:rsidRPr="002E7573">
        <w:rPr>
          <w:color w:val="000000" w:themeColor="text1"/>
        </w:rPr>
        <w:t>4%</w:t>
      </w:r>
      <w:r w:rsidR="0000585E" w:rsidRPr="002B5095">
        <w:rPr>
          <w:rFonts w:hint="eastAsia"/>
          <w:color w:val="000000" w:themeColor="text1"/>
        </w:rPr>
        <w:t xml:space="preserve">로 잡았다. </w:t>
      </w:r>
      <w:r w:rsidRPr="002E7573">
        <w:rPr>
          <w:color w:val="000000" w:themeColor="text1"/>
        </w:rPr>
        <w:t xml:space="preserve">실제 </w:t>
      </w:r>
      <w:proofErr w:type="spellStart"/>
      <w:r w:rsidRPr="002E7573">
        <w:rPr>
          <w:color w:val="000000" w:themeColor="text1"/>
        </w:rPr>
        <w:t>레포</w:t>
      </w:r>
      <w:proofErr w:type="spellEnd"/>
      <w:r w:rsidRPr="002E7573">
        <w:rPr>
          <w:color w:val="000000" w:themeColor="text1"/>
        </w:rPr>
        <w:t xml:space="preserve"> 담보 적격 회사채는 AA~A 등급이지만 보수적으로 BBB- 행 적용</w:t>
      </w:r>
      <w:r w:rsidR="0000585E" w:rsidRPr="002B5095">
        <w:rPr>
          <w:rFonts w:hint="eastAsia"/>
          <w:color w:val="000000" w:themeColor="text1"/>
        </w:rPr>
        <w:t xml:space="preserve">하여 </w:t>
      </w:r>
      <w:r w:rsidR="0000585E" w:rsidRPr="002E7573">
        <w:rPr>
          <w:color w:val="000000" w:themeColor="text1"/>
        </w:rPr>
        <w:t>6%</w:t>
      </w:r>
      <w:r w:rsidR="0000585E" w:rsidRPr="002B5095">
        <w:rPr>
          <w:rFonts w:hint="eastAsia"/>
          <w:color w:val="000000" w:themeColor="text1"/>
        </w:rPr>
        <w:t>로 잡았다.</w:t>
      </w:r>
    </w:p>
    <w:p w14:paraId="6C37608A" w14:textId="09A4E37C" w:rsidR="0030440B" w:rsidRDefault="00605F6E" w:rsidP="00D5317F">
      <w:pPr>
        <w:ind w:firstLineChars="100" w:firstLine="240"/>
        <w:jc w:val="both"/>
      </w:pPr>
      <w:r>
        <w:t>T+0</w:t>
      </w:r>
      <w:r w:rsidR="0000585E">
        <w:rPr>
          <w:rFonts w:hint="eastAsia"/>
        </w:rPr>
        <w:t xml:space="preserve"> </w:t>
      </w:r>
      <w:r>
        <w:t xml:space="preserve">결제 전환 시, </w:t>
      </w:r>
      <w:proofErr w:type="spellStart"/>
      <w:r>
        <w:t>RiskMetrics</w:t>
      </w:r>
      <w:proofErr w:type="spellEnd"/>
      <w:r>
        <w:t xml:space="preserve"> 시간비례 </w:t>
      </w:r>
      <w:proofErr w:type="spellStart"/>
      <w:r>
        <w:t>축소법</w:t>
      </w:r>
      <w:proofErr w:type="spellEnd"/>
      <w:r>
        <w:t>(</w:t>
      </w:r>
      <w:r w:rsidR="0075011E">
        <w:rPr>
          <w:sz w:val="22"/>
          <w:szCs w:val="22"/>
        </w:rPr>
        <w:t xml:space="preserve">H(T+0)/H(T+1) </w:t>
      </w:r>
      <w:r w:rsidR="0075011E">
        <w:rPr>
          <w:rFonts w:hint="eastAsia"/>
          <w:sz w:val="22"/>
          <w:szCs w:val="22"/>
        </w:rPr>
        <w:t>)</w:t>
      </w:r>
      <w:r>
        <w:t xml:space="preserve">을 적용하면 가중평균 T+0 </w:t>
      </w:r>
      <w:proofErr w:type="spellStart"/>
      <w:r>
        <w:t>헤어컷은</w:t>
      </w:r>
      <w:proofErr w:type="spellEnd"/>
      <w:r>
        <w:t xml:space="preserve"> </w:t>
      </w:r>
      <w:r w:rsidR="008A707B">
        <w:rPr>
          <w:rFonts w:hint="eastAsia"/>
        </w:rPr>
        <w:t>2</w:t>
      </w:r>
      <w:r>
        <w:t>.</w:t>
      </w:r>
      <w:r w:rsidR="008A707B">
        <w:rPr>
          <w:rFonts w:hint="eastAsia"/>
        </w:rPr>
        <w:t>98</w:t>
      </w:r>
      <w:r>
        <w:t>%로, ΔH=</w:t>
      </w:r>
      <w:r w:rsidR="008A707B">
        <w:rPr>
          <w:rFonts w:hint="eastAsia"/>
        </w:rPr>
        <w:t>1</w:t>
      </w:r>
      <w:r>
        <w:t>.</w:t>
      </w:r>
      <w:r w:rsidR="008A707B">
        <w:rPr>
          <w:rFonts w:hint="eastAsia"/>
        </w:rPr>
        <w:t>42</w:t>
      </w:r>
      <w:r>
        <w:t xml:space="preserve">%p의 </w:t>
      </w:r>
      <w:proofErr w:type="spellStart"/>
      <w:r>
        <w:t>헤어컷</w:t>
      </w:r>
      <w:proofErr w:type="spellEnd"/>
      <w:r>
        <w:t xml:space="preserve"> 축소가 가능하다.</w:t>
      </w:r>
    </w:p>
    <w:p w14:paraId="02F81B70" w14:textId="0341471F" w:rsidR="00A83BF0" w:rsidRDefault="00A83BF0" w:rsidP="00D5317F">
      <w:pPr>
        <w:ind w:firstLineChars="100" w:firstLine="240"/>
        <w:jc w:val="both"/>
      </w:pPr>
      <w:r>
        <w:rPr>
          <w:noProof/>
        </w:rPr>
        <w:drawing>
          <wp:inline distT="0" distB="0" distL="0" distR="0" wp14:anchorId="7A5222EA" wp14:editId="3C1253C1">
            <wp:extent cx="5303520" cy="3223545"/>
            <wp:effectExtent l="0" t="0" r="0" b="0"/>
            <wp:docPr id="88785" name="fig08" descr="Collateral Composition"/>
            <wp:cNvGraphicFramePr/>
            <a:graphic xmlns:a="http://schemas.openxmlformats.org/drawingml/2006/main">
              <a:graphicData uri="http://schemas.openxmlformats.org/drawingml/2006/picture">
                <pic:pic xmlns:pic="http://schemas.openxmlformats.org/drawingml/2006/picture">
                  <pic:nvPicPr>
                    <pic:cNvPr id="0" name="fig08"/>
                    <pic:cNvPicPr/>
                  </pic:nvPicPr>
                  <pic:blipFill>
                    <a:blip r:embed="rId12"/>
                    <a:stretch>
                      <a:fillRect/>
                    </a:stretch>
                  </pic:blipFill>
                  <pic:spPr>
                    <a:xfrm>
                      <a:off x="0" y="0"/>
                      <a:ext cx="5303520" cy="3223545"/>
                    </a:xfrm>
                    <a:prstGeom prst="rect">
                      <a:avLst/>
                    </a:prstGeom>
                  </pic:spPr>
                </pic:pic>
              </a:graphicData>
            </a:graphic>
          </wp:inline>
        </w:drawing>
      </w:r>
    </w:p>
    <w:p w14:paraId="2BCD290A" w14:textId="4AA78347" w:rsidR="00A83BF0" w:rsidRPr="00A83BF0" w:rsidRDefault="00A83BF0" w:rsidP="00A83BF0">
      <w:pPr>
        <w:spacing w:before="60" w:after="240"/>
        <w:jc w:val="center"/>
        <w:rPr>
          <w:bCs/>
        </w:rPr>
      </w:pPr>
      <w:bookmarkStart w:id="15" w:name="_Toc223089348"/>
      <w:r w:rsidRPr="00A83BF0">
        <w:rPr>
          <w:bCs/>
          <w:sz w:val="20"/>
          <w:szCs w:val="20"/>
        </w:rPr>
        <w:t xml:space="preserve">그림 </w:t>
      </w:r>
      <w:r w:rsidRPr="00A83BF0">
        <w:rPr>
          <w:rFonts w:hint="eastAsia"/>
          <w:bCs/>
          <w:sz w:val="20"/>
          <w:szCs w:val="20"/>
        </w:rPr>
        <w:t>2</w:t>
      </w:r>
      <w:r w:rsidRPr="00A83BF0">
        <w:rPr>
          <w:bCs/>
          <w:sz w:val="20"/>
          <w:szCs w:val="20"/>
        </w:rPr>
        <w:t xml:space="preserve">. 담보 유형별 </w:t>
      </w:r>
      <w:proofErr w:type="spellStart"/>
      <w:r w:rsidRPr="00A83BF0">
        <w:rPr>
          <w:bCs/>
          <w:sz w:val="20"/>
          <w:szCs w:val="20"/>
        </w:rPr>
        <w:t>헤어컷</w:t>
      </w:r>
      <w:proofErr w:type="spellEnd"/>
      <w:r w:rsidRPr="00A83BF0">
        <w:rPr>
          <w:bCs/>
          <w:sz w:val="20"/>
          <w:szCs w:val="20"/>
        </w:rPr>
        <w:t xml:space="preserve"> 구성 및 </w:t>
      </w:r>
      <w:proofErr w:type="spellStart"/>
      <w:r w:rsidRPr="00A83BF0">
        <w:rPr>
          <w:bCs/>
          <w:sz w:val="20"/>
          <w:szCs w:val="20"/>
        </w:rPr>
        <w:t>절감분</w:t>
      </w:r>
      <w:proofErr w:type="spellEnd"/>
    </w:p>
    <w:p w14:paraId="1960A601" w14:textId="77777777" w:rsidR="00A83BF0" w:rsidRPr="00A83BF0" w:rsidRDefault="00A83BF0">
      <w:pPr>
        <w:pStyle w:val="3"/>
      </w:pPr>
    </w:p>
    <w:p w14:paraId="6C37608B" w14:textId="23F56CEE" w:rsidR="0030440B" w:rsidRDefault="00605F6E">
      <w:pPr>
        <w:pStyle w:val="3"/>
      </w:pPr>
      <w:r>
        <w:t xml:space="preserve">채널 3: 일중 유동성 버퍼 기회비용 </w:t>
      </w:r>
      <w:bookmarkEnd w:id="15"/>
      <w:r>
        <w:rPr>
          <w:rFonts w:hint="eastAsia"/>
        </w:rPr>
        <w:t>계산</w:t>
      </w:r>
    </w:p>
    <w:p w14:paraId="6C37608C" w14:textId="77777777" w:rsidR="0030440B" w:rsidRDefault="00605F6E">
      <w:pPr>
        <w:jc w:val="both"/>
      </w:pPr>
      <w:r>
        <w:t>바젤 III LCR 규제하에서 금융기관이 결제 실패 대비 보유해야 하는 미사용 유동성 버퍼(Idle Cash)에 대한 기회비용 절감이다.</w:t>
      </w:r>
    </w:p>
    <w:p w14:paraId="6C37608D" w14:textId="77777777" w:rsidR="0030440B" w:rsidRDefault="0030440B"/>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gridCol w:w="1500"/>
      </w:tblGrid>
      <w:tr w:rsidR="0030440B" w14:paraId="6C376090" w14:textId="77777777">
        <w:tc>
          <w:tcPr>
            <w:tcW w:w="7500" w:type="dxa"/>
            <w:tcBorders>
              <w:top w:val="single" w:sz="2" w:space="0" w:color="795548"/>
              <w:bottom w:val="single" w:sz="2" w:space="0" w:color="795548"/>
            </w:tcBorders>
            <w:tcMar>
              <w:top w:w="80" w:type="dxa"/>
              <w:left w:w="120" w:type="dxa"/>
              <w:bottom w:w="80" w:type="dxa"/>
              <w:right w:w="40" w:type="dxa"/>
            </w:tcMar>
          </w:tcPr>
          <w:p w14:paraId="6C37608E" w14:textId="77777777" w:rsidR="0030440B" w:rsidRDefault="00605F6E">
            <w:pPr>
              <w:jc w:val="center"/>
            </w:pPr>
            <w:r>
              <w:rPr>
                <w:sz w:val="22"/>
                <w:szCs w:val="22"/>
              </w:rPr>
              <w:t>Π(buffer) = B(total) × α × r(kofr)</w:t>
            </w:r>
          </w:p>
        </w:tc>
        <w:tc>
          <w:tcPr>
            <w:tcW w:w="1500" w:type="dxa"/>
            <w:tcBorders>
              <w:top w:val="single" w:sz="2" w:space="0" w:color="795548"/>
              <w:bottom w:val="single" w:sz="2" w:space="0" w:color="795548"/>
            </w:tcBorders>
            <w:tcMar>
              <w:top w:w="80" w:type="dxa"/>
              <w:left w:w="40" w:type="dxa"/>
              <w:bottom w:w="80" w:type="dxa"/>
              <w:right w:w="120" w:type="dxa"/>
            </w:tcMar>
          </w:tcPr>
          <w:p w14:paraId="6C37608F" w14:textId="77777777" w:rsidR="0030440B" w:rsidRDefault="00605F6E" w:rsidP="0000585E">
            <w:pPr>
              <w:jc w:val="center"/>
            </w:pPr>
            <w:r>
              <w:rPr>
                <w:b/>
                <w:bCs/>
                <w:sz w:val="20"/>
                <w:szCs w:val="20"/>
              </w:rPr>
              <w:t>(식 8)</w:t>
            </w:r>
          </w:p>
        </w:tc>
      </w:tr>
    </w:tbl>
    <w:p w14:paraId="6C376091" w14:textId="77777777" w:rsidR="0030440B" w:rsidRDefault="0030440B"/>
    <w:p w14:paraId="6C376092" w14:textId="50FF4807" w:rsidR="0030440B" w:rsidRDefault="00605F6E">
      <w:pPr>
        <w:jc w:val="both"/>
      </w:pPr>
      <w:r>
        <w:t xml:space="preserve">B(total)은 </w:t>
      </w:r>
      <w:r>
        <w:rPr>
          <w:rFonts w:hint="eastAsia"/>
        </w:rPr>
        <w:t>미사용 유동성 버퍼들을 온체인 레포를 진행해서 자본 회전율을 늘렸</w:t>
      </w:r>
      <w:r>
        <w:rPr>
          <w:rFonts w:hint="eastAsia"/>
        </w:rPr>
        <w:lastRenderedPageBreak/>
        <w:t xml:space="preserve">을 때 어느정도의 효과가 날지 계산한 값이다. </w:t>
      </w:r>
      <w:r>
        <w:t>금융권 전체 일중 유동성 버퍼 총액(</w:t>
      </w:r>
      <w:r w:rsidR="005D0301">
        <w:rPr>
          <w:rFonts w:hint="eastAsia"/>
        </w:rPr>
        <w:t>81.6</w:t>
      </w:r>
      <w:r w:rsidR="008A707B">
        <w:rPr>
          <w:rFonts w:hint="eastAsia"/>
        </w:rPr>
        <w:t>조 원</w:t>
      </w:r>
      <w:r>
        <w:t>)</w:t>
      </w:r>
      <w:r w:rsidR="001D302A">
        <w:rPr>
          <w:rStyle w:val="a6"/>
        </w:rPr>
        <w:footnoteReference w:id="21"/>
      </w:r>
      <w:r>
        <w:t>, α는 버퍼 축소 비율</w:t>
      </w:r>
      <w:r>
        <w:rPr>
          <w:rFonts w:hint="eastAsia"/>
        </w:rPr>
        <w:t xml:space="preserve">로 </w:t>
      </w:r>
      <w:r>
        <w:t>24h→</w:t>
      </w:r>
      <w:r w:rsidR="005D0301">
        <w:rPr>
          <w:rFonts w:hint="eastAsia"/>
        </w:rPr>
        <w:t>11</w:t>
      </w:r>
      <w:r>
        <w:t>h: √(</w:t>
      </w:r>
      <w:r w:rsidR="0075011E">
        <w:rPr>
          <w:rFonts w:hint="eastAsia"/>
        </w:rPr>
        <w:t>11</w:t>
      </w:r>
      <w:r>
        <w:t>/24)=0.</w:t>
      </w:r>
      <w:r w:rsidR="008A707B">
        <w:rPr>
          <w:rFonts w:hint="eastAsia"/>
        </w:rPr>
        <w:t>677</w:t>
      </w:r>
      <w:r>
        <w:t xml:space="preserve"> </w:t>
      </w:r>
      <w:r w:rsidRPr="0000585E">
        <w:t>→ </w:t>
      </w:r>
      <w:r w:rsidR="008A707B">
        <w:rPr>
          <w:rFonts w:hint="eastAsia"/>
        </w:rPr>
        <w:t>약22</w:t>
      </w:r>
      <w:r w:rsidRPr="0000585E">
        <w:t>% 축소</w:t>
      </w:r>
      <w:r>
        <w:t> (</w:t>
      </w:r>
      <w:proofErr w:type="spellStart"/>
      <w:r>
        <w:t>VaR</w:t>
      </w:r>
      <w:proofErr w:type="spellEnd"/>
      <w:r>
        <w:t xml:space="preserve"> 기준)</w:t>
      </w:r>
      <w:r>
        <w:rPr>
          <w:rFonts w:hint="eastAsia"/>
        </w:rPr>
        <w:t>를 활용하되 보수적으로 0퍼를 잡을 예정</w:t>
      </w:r>
      <w:r w:rsidR="008A707B">
        <w:rPr>
          <w:rFonts w:hint="eastAsia"/>
        </w:rPr>
        <w:t>이다.</w:t>
      </w:r>
      <w:r w:rsidR="008A707B" w:rsidRPr="008A707B">
        <w:rPr>
          <w:sz w:val="22"/>
          <w:szCs w:val="22"/>
        </w:rPr>
        <w:t xml:space="preserve"> </w:t>
      </w:r>
      <w:r w:rsidR="008A707B">
        <w:rPr>
          <w:sz w:val="22"/>
          <w:szCs w:val="22"/>
        </w:rPr>
        <w:t>r(</w:t>
      </w:r>
      <w:proofErr w:type="spellStart"/>
      <w:r w:rsidR="008A707B">
        <w:rPr>
          <w:sz w:val="22"/>
          <w:szCs w:val="22"/>
        </w:rPr>
        <w:t>kofr</w:t>
      </w:r>
      <w:proofErr w:type="spellEnd"/>
      <w:r w:rsidR="008A707B">
        <w:rPr>
          <w:sz w:val="22"/>
          <w:szCs w:val="22"/>
        </w:rPr>
        <w:t>)</w:t>
      </w:r>
      <w:r>
        <w:t>은</w:t>
      </w:r>
      <w:r w:rsidR="008A707B">
        <w:rPr>
          <w:rFonts w:hint="eastAsia"/>
        </w:rPr>
        <w:t xml:space="preserve"> </w:t>
      </w:r>
      <w:r w:rsidR="0000585E">
        <w:rPr>
          <w:rFonts w:hint="eastAsia"/>
        </w:rPr>
        <w:t>현재 금리인 2.56%로 설정했다.</w:t>
      </w:r>
      <w:r>
        <w:rPr>
          <w:rStyle w:val="a6"/>
        </w:rPr>
        <w:footnoteReference w:id="22"/>
      </w:r>
      <w:r>
        <w:t xml:space="preserve"> 규제 맥락: LCR은 결제 실패 대비 30일간의 현금 유출을 커버할 HQLA를 의무 보유하도록 한다.</w:t>
      </w:r>
      <w:r>
        <w:rPr>
          <w:rStyle w:val="a6"/>
        </w:rPr>
        <w:footnoteReference w:id="23"/>
      </w:r>
      <w:r>
        <w:t xml:space="preserve"> 온체인 T+0 결제는 결제 완결성을 수 초 내에 달성하므로, 기관들이 보유해야 하는 버퍼 규모를 줄일 수 있다.</w:t>
      </w:r>
    </w:p>
    <w:p w14:paraId="540DA21D" w14:textId="77777777" w:rsidR="009F1B87" w:rsidRDefault="009F1B87">
      <w:pPr>
        <w:jc w:val="both"/>
      </w:pPr>
    </w:p>
    <w:p w14:paraId="6C376099" w14:textId="293F92D2" w:rsidR="0030440B" w:rsidRDefault="00605F6E">
      <w:pPr>
        <w:pStyle w:val="2"/>
      </w:pPr>
      <w:bookmarkStart w:id="16" w:name="_Toc223089350"/>
      <w:r>
        <w:t>3.2 몬테카를로 시뮬레이션 설계</w:t>
      </w:r>
      <w:bookmarkEnd w:id="16"/>
    </w:p>
    <w:p w14:paraId="0DD00BC4" w14:textId="7673ED18" w:rsidR="008A707B" w:rsidRDefault="00605F6E" w:rsidP="003C7AD0">
      <w:pPr>
        <w:ind w:firstLineChars="100" w:firstLine="240"/>
        <w:jc w:val="both"/>
      </w:pPr>
      <w:r>
        <w:t xml:space="preserve">한국은행 ECOS API를 통해 추출한 실제 KOFR 일별 데이터 1,044건(2021년 11월~2026년 2월)을 기반으로 CIR 모형 파라미터를 OLS 회귀분석으로 </w:t>
      </w:r>
      <w:r w:rsidR="001204D9" w:rsidRPr="001204D9">
        <w:t>몬테카를로 시뮬레이션</w:t>
      </w:r>
      <w:r w:rsidR="002A47FE">
        <w:rPr>
          <w:rFonts w:hint="eastAsia"/>
        </w:rPr>
        <w:t>을</w:t>
      </w:r>
      <w:r w:rsidR="001204D9" w:rsidRPr="001204D9">
        <w:t xml:space="preserve"> 10,000회 반복을 통해 TEB의 확률적 분포를 추정한다. 각 시행에서 거래량(V), 단기금리(r), 절약시간(</w:t>
      </w:r>
      <w:proofErr w:type="spellStart"/>
      <w:r w:rsidR="001204D9" w:rsidRPr="001204D9">
        <w:t>δh</w:t>
      </w:r>
      <w:proofErr w:type="spellEnd"/>
      <w:r w:rsidR="001204D9" w:rsidRPr="001204D9">
        <w:t xml:space="preserve">), T+1 </w:t>
      </w:r>
      <w:proofErr w:type="spellStart"/>
      <w:r w:rsidR="001204D9" w:rsidRPr="001204D9">
        <w:t>헤어컷</w:t>
      </w:r>
      <w:proofErr w:type="spellEnd"/>
      <w:r w:rsidR="001204D9" w:rsidRPr="001204D9">
        <w:t xml:space="preserve">(H)의 네 확률변수를 독립 추출한다. 거래량은 로그정규분포(평균 209조, CV=0.15), 금리는 KOFR 실증 추정치 기반 CIR 모형(κ=2.7714, θ=2.984%, σ=0.1013, </w:t>
      </w:r>
      <w:proofErr w:type="spellStart"/>
      <w:r w:rsidR="001204D9" w:rsidRPr="001204D9">
        <w:t>r</w:t>
      </w:r>
      <w:proofErr w:type="spellEnd"/>
      <w:r w:rsidR="001204D9" w:rsidRPr="001204D9">
        <w:rPr>
          <w:rFonts w:ascii="Cambria Math" w:hAnsi="Cambria Math" w:cs="Cambria Math"/>
        </w:rPr>
        <w:t>₀</w:t>
      </w:r>
      <w:r w:rsidR="001204D9" w:rsidRPr="001204D9">
        <w:t xml:space="preserve">=2.56%)으로 252일 경로를 시뮬레이션한 </w:t>
      </w:r>
      <w:proofErr w:type="spellStart"/>
      <w:r w:rsidR="001204D9" w:rsidRPr="001204D9">
        <w:t>연평균값</w:t>
      </w:r>
      <w:proofErr w:type="spellEnd"/>
      <w:r w:rsidR="001204D9" w:rsidRPr="001204D9">
        <w:t xml:space="preserve">, 절약시간은 감마분포(평균 13시간, 표준편차 2시간), T+1 </w:t>
      </w:r>
      <w:proofErr w:type="spellStart"/>
      <w:r w:rsidR="001204D9" w:rsidRPr="001204D9">
        <w:t>헤어컷은</w:t>
      </w:r>
      <w:proofErr w:type="spellEnd"/>
      <w:r w:rsidR="001204D9" w:rsidRPr="001204D9">
        <w:t xml:space="preserve"> 정규분포(평균 4.40%, 표준편차 0.5%p)를 각각 적용한다. 각 시행의 TEB는 세 채널(유동성 조기 회수·</w:t>
      </w:r>
      <w:proofErr w:type="spellStart"/>
      <w:r w:rsidR="001204D9" w:rsidRPr="001204D9">
        <w:t>헤어컷</w:t>
      </w:r>
      <w:proofErr w:type="spellEnd"/>
      <w:r w:rsidR="001204D9" w:rsidRPr="001204D9">
        <w:t xml:space="preserve"> 최적화·버퍼 기회비용 절감)의 합으로 산출</w:t>
      </w:r>
      <w:r w:rsidR="001204D9">
        <w:rPr>
          <w:rFonts w:hint="eastAsia"/>
        </w:rPr>
        <w:t>된다.</w:t>
      </w:r>
    </w:p>
    <w:p w14:paraId="551CA074" w14:textId="77777777" w:rsidR="00710341" w:rsidRDefault="00710341" w:rsidP="00710341">
      <w:bookmarkStart w:id="17" w:name="_Toc223089352"/>
    </w:p>
    <w:p w14:paraId="6C3760DB" w14:textId="5E7F4F93" w:rsidR="0030440B" w:rsidRDefault="00605F6E" w:rsidP="00710341">
      <w:r>
        <w:rPr>
          <w:b/>
          <w:bCs/>
          <w:sz w:val="28"/>
          <w:szCs w:val="28"/>
        </w:rPr>
        <w:t xml:space="preserve">4. 한국형 </w:t>
      </w:r>
      <w:proofErr w:type="spellStart"/>
      <w:r>
        <w:rPr>
          <w:b/>
          <w:bCs/>
          <w:sz w:val="28"/>
          <w:szCs w:val="28"/>
        </w:rPr>
        <w:t>온체인</w:t>
      </w:r>
      <w:proofErr w:type="spellEnd"/>
      <w:r>
        <w:rPr>
          <w:b/>
          <w:bCs/>
          <w:sz w:val="28"/>
          <w:szCs w:val="28"/>
        </w:rPr>
        <w:t xml:space="preserve"> </w:t>
      </w:r>
      <w:proofErr w:type="spellStart"/>
      <w:r>
        <w:rPr>
          <w:b/>
          <w:bCs/>
          <w:sz w:val="28"/>
          <w:szCs w:val="28"/>
        </w:rPr>
        <w:t>레포</w:t>
      </w:r>
      <w:proofErr w:type="spellEnd"/>
      <w:r>
        <w:rPr>
          <w:b/>
          <w:bCs/>
          <w:sz w:val="28"/>
          <w:szCs w:val="28"/>
        </w:rPr>
        <w:t xml:space="preserve"> 시스템 설계</w:t>
      </w:r>
      <w:bookmarkEnd w:id="17"/>
    </w:p>
    <w:p w14:paraId="6C3760DC" w14:textId="77777777" w:rsidR="0030440B" w:rsidRDefault="00605F6E">
      <w:pPr>
        <w:pStyle w:val="2"/>
      </w:pPr>
      <w:bookmarkStart w:id="18" w:name="_Toc223089353"/>
      <w:r>
        <w:t>4.1 시스템 아키텍처</w:t>
      </w:r>
      <w:bookmarkEnd w:id="18"/>
    </w:p>
    <w:p w14:paraId="6C3760DD" w14:textId="77777777" w:rsidR="0030440B" w:rsidRDefault="00605F6E">
      <w:pPr>
        <w:jc w:val="both"/>
      </w:pPr>
      <w:r>
        <w:t xml:space="preserve">본 연구에서 제안하는 한국형 온체인 레포 시스템은 4계층 아키텍처로 구성된다. 최상위 참여자 레이어에 은행, 증권사, 보험사, 자산운용사가 노드로 참여하며, 미들웨어 레이어에서 API Gateway, Oracle 서비스(KOFR 및 KRX 실시간 가격), 거래 매칭 엔진이 작동한다. 핵심인 블록체인 레이어는 Hyperledger Besu(EVM 호환, </w:t>
      </w:r>
      <w:r>
        <w:lastRenderedPageBreak/>
        <w:t>IBFT 2.0 합의 알고리즘, 약 2초 블록 생성)를 기반으로 하며, 인프라 레이어에 KSD 중앙 노드, 한국은행 BOK(KOFR Oracle), 금융감독원 FSS(규제 노드)가 위치한다.</w:t>
      </w:r>
    </w:p>
    <w:p w14:paraId="6C3760DE" w14:textId="77777777" w:rsidR="0030440B" w:rsidRDefault="0030440B"/>
    <w:p w14:paraId="6C3760DF" w14:textId="77777777" w:rsidR="0030440B" w:rsidRDefault="00605F6E">
      <w:pPr>
        <w:spacing w:before="120" w:after="60"/>
        <w:jc w:val="center"/>
      </w:pPr>
      <w:r>
        <w:rPr>
          <w:noProof/>
        </w:rPr>
        <w:drawing>
          <wp:inline distT="0" distB="0" distL="0" distR="0" wp14:anchorId="6C376281" wp14:editId="506675D7">
            <wp:extent cx="5753100" cy="3505200"/>
            <wp:effectExtent l="0" t="0" r="0" b="0"/>
            <wp:docPr id="1071939741" name="fig10_architecture.png" descr="fig10_architecture.png" title="fig10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53100" cy="3505200"/>
                    </a:xfrm>
                    <a:prstGeom prst="rect">
                      <a:avLst/>
                    </a:prstGeom>
                  </pic:spPr>
                </pic:pic>
              </a:graphicData>
            </a:graphic>
          </wp:inline>
        </w:drawing>
      </w:r>
    </w:p>
    <w:p w14:paraId="6C3760E0" w14:textId="6452E912" w:rsidR="0030440B" w:rsidRPr="00A83BF0" w:rsidRDefault="00605F6E">
      <w:pPr>
        <w:spacing w:before="80" w:after="200"/>
        <w:jc w:val="center"/>
      </w:pPr>
      <w:r w:rsidRPr="00A83BF0">
        <w:rPr>
          <w:b/>
          <w:bCs/>
          <w:sz w:val="20"/>
          <w:szCs w:val="20"/>
        </w:rPr>
        <w:t xml:space="preserve">그림 </w:t>
      </w:r>
      <w:r w:rsidR="00A83BF0" w:rsidRPr="00A83BF0">
        <w:rPr>
          <w:rFonts w:hint="eastAsia"/>
          <w:b/>
          <w:bCs/>
          <w:sz w:val="20"/>
          <w:szCs w:val="20"/>
        </w:rPr>
        <w:t>3</w:t>
      </w:r>
      <w:r w:rsidRPr="00A83BF0">
        <w:rPr>
          <w:sz w:val="20"/>
          <w:szCs w:val="20"/>
        </w:rPr>
        <w:t>. 한국형 온체인 레포 시스템 4계층 아키텍처</w:t>
      </w:r>
    </w:p>
    <w:p w14:paraId="6C3760E1" w14:textId="77777777" w:rsidR="0030440B" w:rsidRDefault="0030440B"/>
    <w:p w14:paraId="6C3760E2" w14:textId="77777777" w:rsidR="0030440B" w:rsidRDefault="00605F6E">
      <w:pPr>
        <w:jc w:val="both"/>
      </w:pPr>
      <w:r w:rsidRPr="002A47FE">
        <w:t>허가형 블록체인 선택 근거:</w:t>
      </w:r>
      <w:r>
        <w:rPr>
          <w:b/>
          <w:bCs/>
        </w:rPr>
        <w:t xml:space="preserve"> </w:t>
      </w:r>
      <w:r>
        <w:t>금융 규제 준수(KYC/AML) 필수 요건, 참여자 신원 확인 및 거래 프라이버시 보장 필요성, Hyperledger Besu의 EVM 호환성(Solidity 스마트 컨트랙트), IBFT 2.0 합의 알고리즘의 결제 완결성(finality) 보장 등을 고려하였다.</w:t>
      </w:r>
    </w:p>
    <w:p w14:paraId="3C07DA03" w14:textId="77777777" w:rsidR="002A47FE" w:rsidRDefault="002A47FE">
      <w:pPr>
        <w:jc w:val="both"/>
      </w:pPr>
    </w:p>
    <w:p w14:paraId="6C3760E3" w14:textId="77777777" w:rsidR="0030440B" w:rsidRDefault="00605F6E">
      <w:pPr>
        <w:pStyle w:val="2"/>
      </w:pPr>
      <w:bookmarkStart w:id="19" w:name="_Toc223089354"/>
      <w:r>
        <w:t>4.2 스마트 컨트랙트 상세 설계</w:t>
      </w:r>
      <w:bookmarkEnd w:id="19"/>
    </w:p>
    <w:p w14:paraId="6C3760E6" w14:textId="107393CF" w:rsidR="0030440B" w:rsidRDefault="00605F6E" w:rsidP="00A42E45">
      <w:pPr>
        <w:jc w:val="both"/>
      </w:pPr>
      <w:r>
        <w:t>핵심 스마트 컨트랙트는 3종으로 구성된다.</w:t>
      </w:r>
    </w:p>
    <w:p w14:paraId="654742DE" w14:textId="77777777" w:rsidR="00A42E45" w:rsidRDefault="00A42E45" w:rsidP="00A42E45">
      <w:pPr>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00"/>
      </w:tblGrid>
      <w:tr w:rsidR="0030440B" w14:paraId="6C3760EA" w14:textId="77777777">
        <w:tc>
          <w:tcPr>
            <w:tcW w:w="2500" w:type="dxa"/>
            <w:tcBorders>
              <w:top w:val="single" w:sz="1" w:space="0" w:color="795548"/>
              <w:left w:val="single" w:sz="1" w:space="0" w:color="795548"/>
              <w:bottom w:val="single" w:sz="1" w:space="0" w:color="795548"/>
              <w:right w:val="single" w:sz="1" w:space="0" w:color="795548"/>
            </w:tcBorders>
            <w:shd w:val="clear" w:color="auto" w:fill="4E342E"/>
            <w:tcMar>
              <w:top w:w="60" w:type="dxa"/>
              <w:left w:w="80" w:type="dxa"/>
              <w:bottom w:w="60" w:type="dxa"/>
              <w:right w:w="80" w:type="dxa"/>
            </w:tcMar>
            <w:vAlign w:val="center"/>
          </w:tcPr>
          <w:p w14:paraId="6C3760E7" w14:textId="77777777" w:rsidR="0030440B" w:rsidRDefault="00605F6E">
            <w:pPr>
              <w:jc w:val="center"/>
            </w:pPr>
            <w:proofErr w:type="spellStart"/>
            <w:r>
              <w:rPr>
                <w:b/>
                <w:bCs/>
                <w:color w:val="FFFFFF"/>
                <w:sz w:val="20"/>
                <w:szCs w:val="20"/>
              </w:rPr>
              <w:t>컨트랙트</w:t>
            </w:r>
            <w:proofErr w:type="spellEnd"/>
          </w:p>
        </w:tc>
        <w:tc>
          <w:tcPr>
            <w:tcW w:w="3000" w:type="dxa"/>
            <w:tcBorders>
              <w:top w:val="single" w:sz="1" w:space="0" w:color="795548"/>
              <w:left w:val="single" w:sz="1" w:space="0" w:color="795548"/>
              <w:bottom w:val="single" w:sz="1" w:space="0" w:color="795548"/>
              <w:right w:val="single" w:sz="1" w:space="0" w:color="795548"/>
            </w:tcBorders>
            <w:shd w:val="clear" w:color="auto" w:fill="4E342E"/>
            <w:tcMar>
              <w:top w:w="60" w:type="dxa"/>
              <w:left w:w="80" w:type="dxa"/>
              <w:bottom w:w="60" w:type="dxa"/>
              <w:right w:w="80" w:type="dxa"/>
            </w:tcMar>
            <w:vAlign w:val="center"/>
          </w:tcPr>
          <w:p w14:paraId="6C3760E8" w14:textId="77777777" w:rsidR="0030440B" w:rsidRDefault="00605F6E">
            <w:pPr>
              <w:jc w:val="center"/>
            </w:pPr>
            <w:r>
              <w:rPr>
                <w:b/>
                <w:bCs/>
                <w:color w:val="FFFFFF"/>
                <w:sz w:val="20"/>
                <w:szCs w:val="20"/>
              </w:rPr>
              <w:t>핵심 기능</w:t>
            </w:r>
          </w:p>
        </w:tc>
        <w:tc>
          <w:tcPr>
            <w:tcW w:w="3500" w:type="dxa"/>
            <w:tcBorders>
              <w:top w:val="single" w:sz="1" w:space="0" w:color="795548"/>
              <w:left w:val="single" w:sz="1" w:space="0" w:color="795548"/>
              <w:bottom w:val="single" w:sz="1" w:space="0" w:color="795548"/>
              <w:right w:val="single" w:sz="1" w:space="0" w:color="795548"/>
            </w:tcBorders>
            <w:shd w:val="clear" w:color="auto" w:fill="4E342E"/>
            <w:tcMar>
              <w:top w:w="60" w:type="dxa"/>
              <w:left w:w="80" w:type="dxa"/>
              <w:bottom w:w="60" w:type="dxa"/>
              <w:right w:w="80" w:type="dxa"/>
            </w:tcMar>
            <w:vAlign w:val="center"/>
          </w:tcPr>
          <w:p w14:paraId="6C3760E9" w14:textId="77777777" w:rsidR="0030440B" w:rsidRDefault="00605F6E">
            <w:pPr>
              <w:jc w:val="center"/>
            </w:pPr>
            <w:r>
              <w:rPr>
                <w:b/>
                <w:bCs/>
                <w:color w:val="FFFFFF"/>
                <w:sz w:val="20"/>
                <w:szCs w:val="20"/>
              </w:rPr>
              <w:t>설명</w:t>
            </w:r>
          </w:p>
        </w:tc>
      </w:tr>
      <w:tr w:rsidR="0030440B" w14:paraId="6C3760EE" w14:textId="77777777">
        <w:tc>
          <w:tcPr>
            <w:tcW w:w="2500" w:type="dxa"/>
            <w:tcBorders>
              <w:top w:val="single" w:sz="1" w:space="0" w:color="795548"/>
              <w:left w:val="single" w:sz="1" w:space="0" w:color="795548"/>
              <w:bottom w:val="single" w:sz="1" w:space="0" w:color="795548"/>
              <w:right w:val="single" w:sz="1" w:space="0" w:color="795548"/>
            </w:tcBorders>
            <w:shd w:val="clear" w:color="auto" w:fill="EFEBE9"/>
            <w:tcMar>
              <w:top w:w="50" w:type="dxa"/>
              <w:left w:w="80" w:type="dxa"/>
              <w:bottom w:w="50" w:type="dxa"/>
              <w:right w:w="80" w:type="dxa"/>
            </w:tcMar>
          </w:tcPr>
          <w:p w14:paraId="6C3760EB" w14:textId="77777777" w:rsidR="0030440B" w:rsidRDefault="00605F6E">
            <w:r>
              <w:rPr>
                <w:b/>
                <w:bCs/>
                <w:sz w:val="20"/>
                <w:szCs w:val="20"/>
              </w:rPr>
              <w:lastRenderedPageBreak/>
              <w:t>AtomicRepoContract</w:t>
            </w:r>
          </w:p>
        </w:tc>
        <w:tc>
          <w:tcPr>
            <w:tcW w:w="3000" w:type="dxa"/>
            <w:tcBorders>
              <w:top w:val="single" w:sz="1" w:space="0" w:color="795548"/>
              <w:left w:val="single" w:sz="1" w:space="0" w:color="795548"/>
              <w:bottom w:val="single" w:sz="1" w:space="0" w:color="795548"/>
              <w:right w:val="single" w:sz="1" w:space="0" w:color="795548"/>
            </w:tcBorders>
            <w:shd w:val="clear" w:color="auto" w:fill="EFEBE9"/>
            <w:tcMar>
              <w:top w:w="50" w:type="dxa"/>
              <w:left w:w="80" w:type="dxa"/>
              <w:bottom w:w="50" w:type="dxa"/>
              <w:right w:w="80" w:type="dxa"/>
            </w:tcMar>
          </w:tcPr>
          <w:p w14:paraId="6C3760EC" w14:textId="77777777" w:rsidR="0030440B" w:rsidRDefault="00605F6E">
            <w:r>
              <w:rPr>
                <w:sz w:val="20"/>
                <w:szCs w:val="20"/>
              </w:rPr>
              <w:t>initiate(), settle(), marginCall()</w:t>
            </w:r>
          </w:p>
        </w:tc>
        <w:tc>
          <w:tcPr>
            <w:tcW w:w="3500" w:type="dxa"/>
            <w:tcBorders>
              <w:top w:val="single" w:sz="1" w:space="0" w:color="795548"/>
              <w:left w:val="single" w:sz="1" w:space="0" w:color="795548"/>
              <w:bottom w:val="single" w:sz="1" w:space="0" w:color="795548"/>
              <w:right w:val="single" w:sz="1" w:space="0" w:color="795548"/>
            </w:tcBorders>
            <w:shd w:val="clear" w:color="auto" w:fill="EFEBE9"/>
            <w:tcMar>
              <w:top w:w="50" w:type="dxa"/>
              <w:left w:w="80" w:type="dxa"/>
              <w:bottom w:w="50" w:type="dxa"/>
              <w:right w:w="80" w:type="dxa"/>
            </w:tcMar>
          </w:tcPr>
          <w:p w14:paraId="6C3760ED" w14:textId="77777777" w:rsidR="0030440B" w:rsidRDefault="00605F6E">
            <w:r>
              <w:rPr>
                <w:sz w:val="20"/>
                <w:szCs w:val="20"/>
              </w:rPr>
              <w:t>원자적 DvP 개시/만기 역DvP/담보 추가 징구</w:t>
            </w:r>
          </w:p>
        </w:tc>
      </w:tr>
      <w:tr w:rsidR="0030440B" w14:paraId="6C3760F2" w14:textId="77777777">
        <w:tc>
          <w:tcPr>
            <w:tcW w:w="2500" w:type="dxa"/>
            <w:tcBorders>
              <w:top w:val="single" w:sz="1" w:space="0" w:color="795548"/>
              <w:left w:val="single" w:sz="1" w:space="0" w:color="795548"/>
              <w:bottom w:val="single" w:sz="1" w:space="0" w:color="795548"/>
              <w:right w:val="single" w:sz="1" w:space="0" w:color="795548"/>
            </w:tcBorders>
            <w:shd w:val="clear" w:color="auto" w:fill="FFFFFF"/>
            <w:tcMar>
              <w:top w:w="50" w:type="dxa"/>
              <w:left w:w="80" w:type="dxa"/>
              <w:bottom w:w="50" w:type="dxa"/>
              <w:right w:w="80" w:type="dxa"/>
            </w:tcMar>
          </w:tcPr>
          <w:p w14:paraId="6C3760EF" w14:textId="77777777" w:rsidR="0030440B" w:rsidRDefault="00605F6E">
            <w:r>
              <w:rPr>
                <w:b/>
                <w:bCs/>
                <w:sz w:val="20"/>
                <w:szCs w:val="20"/>
              </w:rPr>
              <w:t>CollateralManager</w:t>
            </w:r>
          </w:p>
        </w:tc>
        <w:tc>
          <w:tcPr>
            <w:tcW w:w="3000" w:type="dxa"/>
            <w:tcBorders>
              <w:top w:val="single" w:sz="1" w:space="0" w:color="795548"/>
              <w:left w:val="single" w:sz="1" w:space="0" w:color="795548"/>
              <w:bottom w:val="single" w:sz="1" w:space="0" w:color="795548"/>
              <w:right w:val="single" w:sz="1" w:space="0" w:color="795548"/>
            </w:tcBorders>
            <w:shd w:val="clear" w:color="auto" w:fill="FFFFFF"/>
            <w:tcMar>
              <w:top w:w="50" w:type="dxa"/>
              <w:left w:w="80" w:type="dxa"/>
              <w:bottom w:w="50" w:type="dxa"/>
              <w:right w:w="80" w:type="dxa"/>
            </w:tcMar>
          </w:tcPr>
          <w:p w14:paraId="6C3760F0" w14:textId="77777777" w:rsidR="0030440B" w:rsidRDefault="00605F6E">
            <w:r>
              <w:rPr>
                <w:sz w:val="20"/>
                <w:szCs w:val="20"/>
              </w:rPr>
              <w:t>evaluateHaircut(), rebalance()</w:t>
            </w:r>
          </w:p>
        </w:tc>
        <w:tc>
          <w:tcPr>
            <w:tcW w:w="3500" w:type="dxa"/>
            <w:tcBorders>
              <w:top w:val="single" w:sz="1" w:space="0" w:color="795548"/>
              <w:left w:val="single" w:sz="1" w:space="0" w:color="795548"/>
              <w:bottom w:val="single" w:sz="1" w:space="0" w:color="795548"/>
              <w:right w:val="single" w:sz="1" w:space="0" w:color="795548"/>
            </w:tcBorders>
            <w:shd w:val="clear" w:color="auto" w:fill="FFFFFF"/>
            <w:tcMar>
              <w:top w:w="50" w:type="dxa"/>
              <w:left w:w="80" w:type="dxa"/>
              <w:bottom w:w="50" w:type="dxa"/>
              <w:right w:w="80" w:type="dxa"/>
            </w:tcMar>
          </w:tcPr>
          <w:p w14:paraId="6C3760F1" w14:textId="77777777" w:rsidR="0030440B" w:rsidRDefault="00605F6E">
            <w:r>
              <w:rPr>
                <w:sz w:val="20"/>
                <w:szCs w:val="20"/>
              </w:rPr>
              <w:t>동적 일중 헤어컷 산출, 담보 자동 재조정</w:t>
            </w:r>
          </w:p>
        </w:tc>
      </w:tr>
      <w:tr w:rsidR="0030440B" w14:paraId="6C3760F6" w14:textId="77777777">
        <w:tc>
          <w:tcPr>
            <w:tcW w:w="2500" w:type="dxa"/>
            <w:tcBorders>
              <w:top w:val="single" w:sz="1" w:space="0" w:color="795548"/>
              <w:left w:val="single" w:sz="1" w:space="0" w:color="795548"/>
              <w:bottom w:val="single" w:sz="1" w:space="0" w:color="795548"/>
              <w:right w:val="single" w:sz="1" w:space="0" w:color="795548"/>
            </w:tcBorders>
            <w:shd w:val="clear" w:color="auto" w:fill="EFEBE9"/>
            <w:tcMar>
              <w:top w:w="50" w:type="dxa"/>
              <w:left w:w="80" w:type="dxa"/>
              <w:bottom w:w="50" w:type="dxa"/>
              <w:right w:w="80" w:type="dxa"/>
            </w:tcMar>
          </w:tcPr>
          <w:p w14:paraId="6C3760F3" w14:textId="77777777" w:rsidR="0030440B" w:rsidRDefault="00605F6E">
            <w:r>
              <w:rPr>
                <w:b/>
                <w:bCs/>
                <w:sz w:val="20"/>
                <w:szCs w:val="20"/>
              </w:rPr>
              <w:t>SettlementFinality</w:t>
            </w:r>
          </w:p>
        </w:tc>
        <w:tc>
          <w:tcPr>
            <w:tcW w:w="3000" w:type="dxa"/>
            <w:tcBorders>
              <w:top w:val="single" w:sz="1" w:space="0" w:color="795548"/>
              <w:left w:val="single" w:sz="1" w:space="0" w:color="795548"/>
              <w:bottom w:val="single" w:sz="1" w:space="0" w:color="795548"/>
              <w:right w:val="single" w:sz="1" w:space="0" w:color="795548"/>
            </w:tcBorders>
            <w:shd w:val="clear" w:color="auto" w:fill="EFEBE9"/>
            <w:tcMar>
              <w:top w:w="50" w:type="dxa"/>
              <w:left w:w="80" w:type="dxa"/>
              <w:bottom w:w="50" w:type="dxa"/>
              <w:right w:w="80" w:type="dxa"/>
            </w:tcMar>
          </w:tcPr>
          <w:p w14:paraId="6C3760F4" w14:textId="77777777" w:rsidR="0030440B" w:rsidRDefault="00605F6E">
            <w:r>
              <w:rPr>
                <w:sz w:val="20"/>
                <w:szCs w:val="20"/>
              </w:rPr>
              <w:t>confirmFinality(), reportToRegulator()</w:t>
            </w:r>
          </w:p>
        </w:tc>
        <w:tc>
          <w:tcPr>
            <w:tcW w:w="3500" w:type="dxa"/>
            <w:tcBorders>
              <w:top w:val="single" w:sz="1" w:space="0" w:color="795548"/>
              <w:left w:val="single" w:sz="1" w:space="0" w:color="795548"/>
              <w:bottom w:val="single" w:sz="1" w:space="0" w:color="795548"/>
              <w:right w:val="single" w:sz="1" w:space="0" w:color="795548"/>
            </w:tcBorders>
            <w:shd w:val="clear" w:color="auto" w:fill="EFEBE9"/>
            <w:tcMar>
              <w:top w:w="50" w:type="dxa"/>
              <w:left w:w="80" w:type="dxa"/>
              <w:bottom w:w="50" w:type="dxa"/>
              <w:right w:w="80" w:type="dxa"/>
            </w:tcMar>
          </w:tcPr>
          <w:p w14:paraId="6C3760F5" w14:textId="77777777" w:rsidR="0030440B" w:rsidRDefault="00605F6E">
            <w:r>
              <w:rPr>
                <w:sz w:val="20"/>
                <w:szCs w:val="20"/>
              </w:rPr>
              <w:t>결제 완결성 선언, FSS 실시간 보고</w:t>
            </w:r>
          </w:p>
        </w:tc>
      </w:tr>
    </w:tbl>
    <w:p w14:paraId="79DD2CCA" w14:textId="77777777" w:rsidR="00A42E45" w:rsidRPr="00A42E45" w:rsidRDefault="00A42E45" w:rsidP="00A42E45">
      <w:pPr>
        <w:spacing w:before="200" w:after="80"/>
        <w:jc w:val="center"/>
      </w:pPr>
      <w:r w:rsidRPr="00A42E45">
        <w:rPr>
          <w:b/>
          <w:bCs/>
          <w:sz w:val="20"/>
          <w:szCs w:val="20"/>
        </w:rPr>
        <w:t xml:space="preserve">표 </w:t>
      </w:r>
      <w:r w:rsidRPr="00A42E45">
        <w:rPr>
          <w:rFonts w:hint="eastAsia"/>
          <w:b/>
          <w:bCs/>
          <w:sz w:val="20"/>
          <w:szCs w:val="20"/>
        </w:rPr>
        <w:t>1</w:t>
      </w:r>
      <w:r w:rsidRPr="00A42E45">
        <w:rPr>
          <w:sz w:val="20"/>
          <w:szCs w:val="20"/>
        </w:rPr>
        <w:t xml:space="preserve">. 핵심 스마트 </w:t>
      </w:r>
      <w:proofErr w:type="spellStart"/>
      <w:r w:rsidRPr="00A42E45">
        <w:rPr>
          <w:sz w:val="20"/>
          <w:szCs w:val="20"/>
        </w:rPr>
        <w:t>컨트랙트</w:t>
      </w:r>
      <w:proofErr w:type="spellEnd"/>
      <w:r w:rsidRPr="00A42E45">
        <w:rPr>
          <w:sz w:val="20"/>
          <w:szCs w:val="20"/>
        </w:rPr>
        <w:t xml:space="preserve"> 구성</w:t>
      </w:r>
    </w:p>
    <w:p w14:paraId="6C3760F7" w14:textId="77777777" w:rsidR="0030440B" w:rsidRPr="00A42E45" w:rsidRDefault="0030440B"/>
    <w:p w14:paraId="6C3760F9" w14:textId="67D8C4DD" w:rsidR="0030440B" w:rsidRDefault="00605F6E" w:rsidP="00754223">
      <w:pPr>
        <w:jc w:val="both"/>
      </w:pPr>
      <w:proofErr w:type="spellStart"/>
      <w:r>
        <w:rPr>
          <w:b/>
          <w:bCs/>
        </w:rPr>
        <w:t>원자성</w:t>
      </w:r>
      <w:proofErr w:type="spellEnd"/>
      <w:r>
        <w:rPr>
          <w:b/>
          <w:bCs/>
        </w:rPr>
        <w:t xml:space="preserve">(Atomicity) 보장: </w:t>
      </w:r>
      <w:r>
        <w:t>initiate() 함수에서 담보 토큰과 현금 토큰의 양방향 이전이 단일 트랜잭션 내에서 모두 성공하거나 모두 실패(revert)하여, 부분 결제(partial settlement)가 구조적으로 불가능하다. 이는 스마트 컨트랙트의 원자적 실행 특성을 활용한 것이다.</w:t>
      </w:r>
    </w:p>
    <w:p w14:paraId="6C3760FA" w14:textId="3922A5B0" w:rsidR="0030440B" w:rsidRDefault="00754223">
      <w:pPr>
        <w:jc w:val="both"/>
      </w:pPr>
      <w:r>
        <w:rPr>
          <w:rFonts w:hint="eastAsia"/>
        </w:rPr>
        <w:t xml:space="preserve"> 동적 </w:t>
      </w:r>
      <w:r>
        <w:t>헤어컷 산출 로직은 다음과 같이 설계한다.</w:t>
      </w:r>
    </w:p>
    <w:p w14:paraId="6C3760FB" w14:textId="77777777" w:rsidR="0030440B" w:rsidRDefault="0030440B"/>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gridCol w:w="1500"/>
      </w:tblGrid>
      <w:tr w:rsidR="0030440B" w14:paraId="6C3760FE" w14:textId="77777777">
        <w:tc>
          <w:tcPr>
            <w:tcW w:w="7500" w:type="dxa"/>
            <w:tcBorders>
              <w:top w:val="single" w:sz="2" w:space="0" w:color="795548"/>
              <w:bottom w:val="single" w:sz="2" w:space="0" w:color="795548"/>
            </w:tcBorders>
            <w:tcMar>
              <w:top w:w="80" w:type="dxa"/>
              <w:left w:w="120" w:type="dxa"/>
              <w:bottom w:w="80" w:type="dxa"/>
              <w:right w:w="40" w:type="dxa"/>
            </w:tcMar>
          </w:tcPr>
          <w:p w14:paraId="6C3760FC" w14:textId="77777777" w:rsidR="0030440B" w:rsidRDefault="00605F6E">
            <w:pPr>
              <w:jc w:val="center"/>
            </w:pPr>
            <w:r>
              <w:rPr>
                <w:sz w:val="22"/>
                <w:szCs w:val="22"/>
              </w:rPr>
              <w:t>H(dynamic,t) = H(base) × √(T(remaining)/T(overnight)) × (1 + λ × σ(intraday,t))</w:t>
            </w:r>
          </w:p>
        </w:tc>
        <w:tc>
          <w:tcPr>
            <w:tcW w:w="1500" w:type="dxa"/>
            <w:tcBorders>
              <w:top w:val="single" w:sz="2" w:space="0" w:color="795548"/>
              <w:bottom w:val="single" w:sz="2" w:space="0" w:color="795548"/>
            </w:tcBorders>
            <w:tcMar>
              <w:top w:w="80" w:type="dxa"/>
              <w:left w:w="40" w:type="dxa"/>
              <w:bottom w:w="80" w:type="dxa"/>
              <w:right w:w="120" w:type="dxa"/>
            </w:tcMar>
          </w:tcPr>
          <w:p w14:paraId="6C3760FD" w14:textId="17346269" w:rsidR="0030440B" w:rsidRDefault="00605F6E" w:rsidP="00525AD3">
            <w:pPr>
              <w:jc w:val="center"/>
            </w:pPr>
            <w:r>
              <w:rPr>
                <w:b/>
                <w:bCs/>
                <w:sz w:val="20"/>
                <w:szCs w:val="20"/>
              </w:rPr>
              <w:t xml:space="preserve">(식 </w:t>
            </w:r>
            <w:r w:rsidR="00743512">
              <w:rPr>
                <w:rFonts w:hint="eastAsia"/>
                <w:b/>
                <w:bCs/>
                <w:sz w:val="20"/>
                <w:szCs w:val="20"/>
              </w:rPr>
              <w:t>9</w:t>
            </w:r>
            <w:r>
              <w:rPr>
                <w:b/>
                <w:bCs/>
                <w:sz w:val="20"/>
                <w:szCs w:val="20"/>
              </w:rPr>
              <w:t>)</w:t>
            </w:r>
          </w:p>
        </w:tc>
      </w:tr>
    </w:tbl>
    <w:p w14:paraId="6C3760FF" w14:textId="77777777" w:rsidR="0030440B" w:rsidRDefault="0030440B"/>
    <w:p w14:paraId="6C376100" w14:textId="77777777" w:rsidR="0030440B" w:rsidRDefault="00605F6E">
      <w:pPr>
        <w:jc w:val="both"/>
      </w:pPr>
      <w:r>
        <w:t>H(base)는 기본 헤어컷(국채 등급별), T(remaining)은 레포 잔여 시간, σ(intraday,t)는 실시간 장중 변동성, λ는 리스크 조정 계수이다.</w:t>
      </w:r>
    </w:p>
    <w:p w14:paraId="6C376101" w14:textId="77777777" w:rsidR="0030440B" w:rsidRDefault="0030440B"/>
    <w:p w14:paraId="6C376102" w14:textId="77777777" w:rsidR="0030440B" w:rsidRDefault="00605F6E">
      <w:pPr>
        <w:pStyle w:val="2"/>
      </w:pPr>
      <w:bookmarkStart w:id="20" w:name="_Toc223089355"/>
      <w:r>
        <w:t>4.3 거래 프로세스(거래 프로세스) 상세 설계</w:t>
      </w:r>
      <w:bookmarkEnd w:id="20"/>
    </w:p>
    <w:p w14:paraId="6C376104" w14:textId="1DA3B1D1" w:rsidR="0030440B" w:rsidRDefault="00605F6E" w:rsidP="00754223">
      <w:pPr>
        <w:jc w:val="both"/>
      </w:pPr>
      <w:r>
        <w:t>온체인 레포의 거래 프로세스는 다음 8단계로 구성된다.</w:t>
      </w:r>
    </w:p>
    <w:p w14:paraId="46D44551" w14:textId="77777777" w:rsidR="009F1B87" w:rsidRDefault="009F1B87" w:rsidP="00754223">
      <w:pPr>
        <w:jc w:val="both"/>
      </w:pPr>
    </w:p>
    <w:p w14:paraId="6C376105" w14:textId="77777777" w:rsidR="0030440B" w:rsidRDefault="00605F6E">
      <w:pPr>
        <w:pStyle w:val="3"/>
      </w:pPr>
      <w:bookmarkStart w:id="21" w:name="_Toc223089356"/>
      <w:r>
        <w:t>Step 1: 거래 개시 (Initiation)</w:t>
      </w:r>
      <w:bookmarkEnd w:id="21"/>
    </w:p>
    <w:p w14:paraId="6C376107" w14:textId="4D121C79" w:rsidR="0030440B" w:rsidRDefault="00605F6E" w:rsidP="002A47FE">
      <w:pPr>
        <w:ind w:firstLineChars="100" w:firstLine="240"/>
        <w:jc w:val="both"/>
      </w:pPr>
      <w:r>
        <w:t>차입자(Borrower, 예: 은행)와 대출자(Lender, 예: 증권사)가 API Gateway를 통해 매칭 요청을 제출한다. 요청 파라미터: 거래대금(amount), 담보(collateral type), 차입 기간(tenor, e.g. 4h, overnight), 금리(rate). 매칭 엔진은 KOFR 기준 금리에 스프레드를 자동 계산하여 제안한다.</w:t>
      </w:r>
    </w:p>
    <w:p w14:paraId="1D18C355" w14:textId="77777777" w:rsidR="009F1B87" w:rsidRDefault="009F1B87" w:rsidP="002A47FE">
      <w:pPr>
        <w:ind w:firstLineChars="100" w:firstLine="240"/>
        <w:jc w:val="both"/>
      </w:pPr>
    </w:p>
    <w:p w14:paraId="6C376108" w14:textId="77777777" w:rsidR="0030440B" w:rsidRDefault="00605F6E">
      <w:pPr>
        <w:pStyle w:val="3"/>
      </w:pPr>
      <w:bookmarkStart w:id="22" w:name="_Toc223089357"/>
      <w:r>
        <w:t>Step 2: Oracle 호출 - 담보 가격 피드</w:t>
      </w:r>
      <w:bookmarkEnd w:id="22"/>
    </w:p>
    <w:p w14:paraId="6C37610A" w14:textId="1D969C2B" w:rsidR="0030440B" w:rsidRDefault="00605F6E" w:rsidP="002A47FE">
      <w:pPr>
        <w:ind w:firstLineChars="100" w:firstLine="240"/>
        <w:jc w:val="both"/>
      </w:pPr>
      <w:r>
        <w:t>CollateralManager.evaluateHaircut() 함수가 KRX Oracle에 실시간 담보(국채/통안채) 가격을 요청한다. Oracle은 KRX 시장 데이터(중앙값, 부비드-애스크 스프레드)를 Chainlink 또는 Band Protocol 같은 decentralized oracle network를 통해 제공한다. 이 과정은 스마트 컨트랙트 내에서 동기적(synchronous)으로 처리된다.</w:t>
      </w:r>
    </w:p>
    <w:p w14:paraId="70E899E3" w14:textId="77777777" w:rsidR="009F1B87" w:rsidRDefault="009F1B87" w:rsidP="002A47FE">
      <w:pPr>
        <w:ind w:firstLineChars="100" w:firstLine="240"/>
        <w:jc w:val="both"/>
      </w:pPr>
    </w:p>
    <w:p w14:paraId="6C37610B" w14:textId="77777777" w:rsidR="0030440B" w:rsidRDefault="00605F6E">
      <w:pPr>
        <w:pStyle w:val="3"/>
      </w:pPr>
      <w:bookmarkStart w:id="23" w:name="_Toc223089358"/>
      <w:r>
        <w:t>Step 3: 헤어컷 산출 &amp; 담보 확정</w:t>
      </w:r>
      <w:bookmarkEnd w:id="23"/>
    </w:p>
    <w:p w14:paraId="6C37610D" w14:textId="14B09049" w:rsidR="0030440B" w:rsidRDefault="00605F6E" w:rsidP="002A47FE">
      <w:pPr>
        <w:ind w:firstLineChars="100" w:firstLine="240"/>
        <w:jc w:val="both"/>
      </w:pPr>
      <w:r>
        <w:t xml:space="preserve">수령한 가격 데이터를 식 </w:t>
      </w:r>
      <w:r w:rsidR="00743512">
        <w:rPr>
          <w:rFonts w:hint="eastAsia"/>
        </w:rPr>
        <w:t>9</w:t>
      </w:r>
      <w:r>
        <w:t xml:space="preserve">에 적용하여 동적 </w:t>
      </w:r>
      <w:proofErr w:type="spellStart"/>
      <w:r>
        <w:t>헤어컷을</w:t>
      </w:r>
      <w:proofErr w:type="spellEnd"/>
      <w:r>
        <w:t xml:space="preserve"> 계산한다. 예: 국채 10년물이 기본 헤어컷(H_base) 3%이고, 잔여 시간이 4시간(T_remaining/T_overnight = 4/24 ≈ 0.167), 현재 일중 변동성 σ=2.5%, λ=0.3일 때: H(dynamic) = 3% × √0.167 × (1 + 0.3 × 0.025) = 3% × 0.408 × 1.0075 ≈ 1.23%</w:t>
      </w:r>
    </w:p>
    <w:p w14:paraId="7E8F8B6A" w14:textId="77777777" w:rsidR="009F1B87" w:rsidRDefault="009F1B87" w:rsidP="002A47FE">
      <w:pPr>
        <w:ind w:firstLineChars="100" w:firstLine="240"/>
        <w:jc w:val="both"/>
      </w:pPr>
    </w:p>
    <w:p w14:paraId="6C37610E" w14:textId="77777777" w:rsidR="0030440B" w:rsidRDefault="00605F6E">
      <w:pPr>
        <w:pStyle w:val="3"/>
      </w:pPr>
      <w:bookmarkStart w:id="24" w:name="_Toc223089359"/>
      <w:r>
        <w:t>Step 4: 담보 이체 (Lock-up)</w:t>
      </w:r>
      <w:bookmarkEnd w:id="24"/>
    </w:p>
    <w:p w14:paraId="6C376110" w14:textId="1AF4D399" w:rsidR="0030440B" w:rsidRDefault="00605F6E" w:rsidP="002A47FE">
      <w:pPr>
        <w:ind w:firstLineChars="100" w:firstLine="240"/>
        <w:jc w:val="both"/>
      </w:pPr>
      <w:r>
        <w:t>AtomicRepoContract.initiate() 함수가 대출자의 담보 토큰을 에스크로우(escrow) 상태로 스마트 컨트랙트 주소로 전송한다. 이 토큰들은 '블록체인 레어' 형태로 원장에 기록되며, 계약 만기 또는 마진콜 해제 시까지 동결된다.</w:t>
      </w:r>
    </w:p>
    <w:p w14:paraId="00465B7F" w14:textId="77777777" w:rsidR="009F1B87" w:rsidRDefault="009F1B87" w:rsidP="002A47FE">
      <w:pPr>
        <w:ind w:firstLineChars="100" w:firstLine="240"/>
        <w:jc w:val="both"/>
      </w:pPr>
    </w:p>
    <w:p w14:paraId="6C376111" w14:textId="77777777" w:rsidR="0030440B" w:rsidRDefault="00605F6E">
      <w:pPr>
        <w:pStyle w:val="3"/>
      </w:pPr>
      <w:bookmarkStart w:id="25" w:name="_Toc223089360"/>
      <w:r>
        <w:t>Step 5: 현금 이체 (DvP - Delivery-versus-Payment)</w:t>
      </w:r>
      <w:bookmarkEnd w:id="25"/>
    </w:p>
    <w:p w14:paraId="6C376113" w14:textId="152BE65A" w:rsidR="0030440B" w:rsidRDefault="00605F6E" w:rsidP="002A47FE">
      <w:pPr>
        <w:ind w:firstLineChars="100" w:firstLine="240"/>
        <w:jc w:val="both"/>
      </w:pPr>
      <w:r>
        <w:t>담보 토큰의 이체가 완료된 직후, 단일 트랜잭션 내에서 차입자의 원화 토큰(또는 디지털 원화 CBDC)이 대출자로 즉시 이전된다. 이 두 이체가 모두 성공하거나 둘 다 실패하는 원자성을 보장한다.</w:t>
      </w:r>
    </w:p>
    <w:p w14:paraId="05E30905" w14:textId="77777777" w:rsidR="009F1B87" w:rsidRDefault="009F1B87" w:rsidP="002A47FE">
      <w:pPr>
        <w:ind w:firstLineChars="100" w:firstLine="240"/>
        <w:jc w:val="both"/>
      </w:pPr>
    </w:p>
    <w:p w14:paraId="6C376114" w14:textId="77777777" w:rsidR="0030440B" w:rsidRDefault="00605F6E">
      <w:pPr>
        <w:pStyle w:val="3"/>
      </w:pPr>
      <w:bookmarkStart w:id="26" w:name="_Toc223089361"/>
      <w:r>
        <w:t>Step 6: 만기 및 역DvP (Repayment)</w:t>
      </w:r>
      <w:bookmarkEnd w:id="26"/>
    </w:p>
    <w:p w14:paraId="6C376116" w14:textId="3A077977" w:rsidR="0030440B" w:rsidRDefault="00605F6E" w:rsidP="002A47FE">
      <w:pPr>
        <w:ind w:firstLineChars="100" w:firstLine="240"/>
        <w:jc w:val="both"/>
      </w:pPr>
      <w:r>
        <w:t xml:space="preserve">사전 설정된 만기 시점(예: 4시간 후)이 도래하면, SettlementFinality 컨트랙트가 자동으로 역DvP를 실행한다. 차입자가 원금 + 이자(계산식: Amount × </w:t>
      </w:r>
      <w:r>
        <w:lastRenderedPageBreak/>
        <w:t>(r_kofr + spread) × tenor / 365)를 지불하면, 담보 토큰이 대출자에게 반환된다.</w:t>
      </w:r>
    </w:p>
    <w:p w14:paraId="6C376117" w14:textId="77777777" w:rsidR="0030440B" w:rsidRDefault="00605F6E">
      <w:pPr>
        <w:pStyle w:val="3"/>
      </w:pPr>
      <w:bookmarkStart w:id="27" w:name="_Toc223089362"/>
      <w:r>
        <w:t>Step 7: 마진콜 메커니즘 (Dynamic Monitoring)</w:t>
      </w:r>
      <w:bookmarkEnd w:id="27"/>
    </w:p>
    <w:p w14:paraId="6C376119" w14:textId="4326E905" w:rsidR="0030440B" w:rsidRDefault="00605F6E" w:rsidP="002A47FE">
      <w:pPr>
        <w:ind w:firstLineChars="100" w:firstLine="240"/>
        <w:jc w:val="both"/>
      </w:pPr>
      <w:r>
        <w:t>ContractionalRepository가 실시간으로 담보 가격을 모니터링한다. 만약 담보 가격이 하락하여 현재 헤어컷이 기본 헤어컷 대비 ±20% 이상 이탈하면, marginCall() 함수가 자동으로 대출자에게 추가 담보 입금을 요구한다. 일정 시간(e.g. 1시간) 내에 담보를 보충하지 않으면 계약이 청산된다.</w:t>
      </w:r>
    </w:p>
    <w:p w14:paraId="6A0527AF" w14:textId="77777777" w:rsidR="009F1B87" w:rsidRDefault="009F1B87" w:rsidP="002A47FE">
      <w:pPr>
        <w:ind w:firstLineChars="100" w:firstLine="240"/>
        <w:jc w:val="both"/>
      </w:pPr>
    </w:p>
    <w:p w14:paraId="6C37611A" w14:textId="77777777" w:rsidR="0030440B" w:rsidRDefault="00605F6E">
      <w:pPr>
        <w:pStyle w:val="3"/>
      </w:pPr>
      <w:bookmarkStart w:id="28" w:name="_Toc223089363"/>
      <w:r>
        <w:t>Step 8: 규제 보고 (Regulatory Reporting)</w:t>
      </w:r>
      <w:bookmarkEnd w:id="28"/>
    </w:p>
    <w:p w14:paraId="6C37611B" w14:textId="77777777" w:rsidR="0030440B" w:rsidRDefault="00605F6E" w:rsidP="002A47FE">
      <w:pPr>
        <w:ind w:firstLineChars="100" w:firstLine="240"/>
        <w:jc w:val="both"/>
      </w:pPr>
      <w:r>
        <w:t>SettlementFinality.reportToRegulator() 함수가 모든 거래 데이터(양 당사자, 거래대금, 담보 유형, 금리, 결제 시간)를 FSS 규제 노드로 실시간 전송한다. FSS는 이를 통해 시장 감시 및 리스크 모니터링을 수행한다.</w:t>
      </w:r>
    </w:p>
    <w:p w14:paraId="0C1BFAB0" w14:textId="77777777" w:rsidR="002A47FE" w:rsidRDefault="002A47FE">
      <w:pPr>
        <w:jc w:val="both"/>
      </w:pPr>
    </w:p>
    <w:p w14:paraId="6C37611C" w14:textId="77777777" w:rsidR="0030440B" w:rsidRDefault="00605F6E">
      <w:pPr>
        <w:pStyle w:val="2"/>
      </w:pPr>
      <w:bookmarkStart w:id="29" w:name="_Toc223089364"/>
      <w:r>
        <w:t>4.4 Oracle 설계 및 거버넌스</w:t>
      </w:r>
      <w:bookmarkEnd w:id="29"/>
    </w:p>
    <w:p w14:paraId="6C37611D" w14:textId="77777777" w:rsidR="0030440B" w:rsidRDefault="00605F6E" w:rsidP="002A47FE">
      <w:pPr>
        <w:ind w:firstLineChars="100" w:firstLine="240"/>
        <w:jc w:val="both"/>
      </w:pPr>
      <w:r>
        <w:t>본 시스템은 두 가지 Oracle이 필수적이다: (1) KOFR Oracle: 한국은행의 매일 공시 KOFR을 읽어 스마트 컨트랙트에 전달한다. 신뢰성 보장을 위해 Chainlink의 분산형 Oracle Network를 도입하여 여러 데이터 제공자(대형 은행 또는 Reuters, Bloomberg 같은 공신력 있는 벤더)로부터 KOFR을 수집하고, 중앙값(median)을 취한다. (2) KRX 시장 가격 Oracle: 국채 및 통안채의 실시간 거래가(bid/ask)를 KRX로부터 수집한다. 이들도 Decentralized Oracle Network로 제공하여 조작 불가능성(tamper-proof)을 보장한다.</w:t>
      </w:r>
    </w:p>
    <w:p w14:paraId="6C37611E" w14:textId="77777777" w:rsidR="0030440B" w:rsidRDefault="0030440B"/>
    <w:p w14:paraId="6C37611F" w14:textId="77777777" w:rsidR="0030440B" w:rsidRDefault="00605F6E">
      <w:pPr>
        <w:pStyle w:val="3"/>
      </w:pPr>
      <w:bookmarkStart w:id="30" w:name="_Toc223089365"/>
      <w:r>
        <w:t>규제 노드(FSS Node)의 역할</w:t>
      </w:r>
      <w:bookmarkEnd w:id="30"/>
    </w:p>
    <w:p w14:paraId="6C376120" w14:textId="77777777" w:rsidR="0030440B" w:rsidRDefault="00605F6E" w:rsidP="002A47FE">
      <w:pPr>
        <w:ind w:firstLineChars="100" w:firstLine="240"/>
        <w:jc w:val="both"/>
      </w:pPr>
      <w:r>
        <w:t>금융감독원은 허가형 블록체인의 참여 노드로서 (1) 모든 거래의 실시간 모니터링 (2) AML/CFT 검사 (3) 시장 조작 적발 (4) 시스템 리스크 경보 기능을 수행한다. 이는 기존 글로벌 온체인 레포 플랫폼(Broadridge, Kinexys)에 없는 한국형 설계의 핵심 혁신이다.</w:t>
      </w:r>
    </w:p>
    <w:p w14:paraId="50112A3B" w14:textId="77777777" w:rsidR="002A47FE" w:rsidRDefault="002A47FE">
      <w:pPr>
        <w:jc w:val="both"/>
      </w:pPr>
    </w:p>
    <w:p w14:paraId="6C376121" w14:textId="77777777" w:rsidR="0030440B" w:rsidRDefault="00605F6E">
      <w:pPr>
        <w:pStyle w:val="2"/>
      </w:pPr>
      <w:bookmarkStart w:id="31" w:name="_Toc223089366"/>
      <w:r>
        <w:t>4.5 KSD가 중심이 된 한국형 모델</w:t>
      </w:r>
      <w:bookmarkEnd w:id="31"/>
    </w:p>
    <w:p w14:paraId="6C376122" w14:textId="20593452" w:rsidR="0030440B" w:rsidRDefault="00605F6E" w:rsidP="002A47FE">
      <w:pPr>
        <w:ind w:firstLineChars="100" w:firstLine="240"/>
        <w:jc w:val="both"/>
      </w:pPr>
      <w:r>
        <w:t>한국예탁결제원(KSD)은 국내 유일의 증권예탁·결제 기관으로서 자본시장법 제294조에 근거한 법적 지위를 갖추고 있으며</w:t>
      </w:r>
      <w:r>
        <w:rPr>
          <w:rStyle w:val="a6"/>
        </w:rPr>
        <w:footnoteReference w:id="24"/>
      </w:r>
      <w:r>
        <w:t>, 이미 KOFR 산출·공표 기관으로서 레포 시장의 데이터 허브 역할을 수행하고 있다. 또한 금융위원회의 2023년 정비방안에 따라 토큰증권 발행 인프라 구축을 진행 중이며</w:t>
      </w:r>
      <w:r>
        <w:rPr>
          <w:rStyle w:val="a6"/>
        </w:rPr>
        <w:footnoteReference w:id="25"/>
      </w:r>
      <w:r>
        <w:t>, 기존 BOK-Wire+ 및 DvP 결제 시스템과의 연동 용이성이 확보되어 있다.</w:t>
      </w:r>
      <w:r>
        <w:rPr>
          <w:rStyle w:val="a6"/>
        </w:rPr>
        <w:footnoteReference w:id="26"/>
      </w:r>
    </w:p>
    <w:p w14:paraId="6C376124" w14:textId="323B3B74" w:rsidR="0030440B" w:rsidRDefault="0030440B" w:rsidP="00A42E45">
      <w:pPr>
        <w:spacing w:before="20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33"/>
        <w:gridCol w:w="2333"/>
        <w:gridCol w:w="2334"/>
      </w:tblGrid>
      <w:tr w:rsidR="0030440B" w14:paraId="6C376129" w14:textId="77777777">
        <w:tc>
          <w:tcPr>
            <w:tcW w:w="2000" w:type="dxa"/>
            <w:tcBorders>
              <w:top w:val="single" w:sz="1" w:space="0" w:color="795548"/>
              <w:left w:val="single" w:sz="1" w:space="0" w:color="795548"/>
              <w:bottom w:val="single" w:sz="1" w:space="0" w:color="795548"/>
              <w:right w:val="single" w:sz="1" w:space="0" w:color="795548"/>
            </w:tcBorders>
            <w:shd w:val="clear" w:color="auto" w:fill="4E342E"/>
            <w:tcMar>
              <w:top w:w="60" w:type="dxa"/>
              <w:left w:w="80" w:type="dxa"/>
              <w:bottom w:w="60" w:type="dxa"/>
              <w:right w:w="80" w:type="dxa"/>
            </w:tcMar>
            <w:vAlign w:val="center"/>
          </w:tcPr>
          <w:p w14:paraId="6C376125" w14:textId="77777777" w:rsidR="0030440B" w:rsidRDefault="00605F6E">
            <w:pPr>
              <w:jc w:val="center"/>
            </w:pPr>
            <w:r>
              <w:rPr>
                <w:b/>
                <w:bCs/>
                <w:color w:val="FFFFFF"/>
                <w:sz w:val="20"/>
                <w:szCs w:val="20"/>
              </w:rPr>
              <w:t>요소</w:t>
            </w:r>
          </w:p>
        </w:tc>
        <w:tc>
          <w:tcPr>
            <w:tcW w:w="2333" w:type="dxa"/>
            <w:tcBorders>
              <w:top w:val="single" w:sz="1" w:space="0" w:color="795548"/>
              <w:left w:val="single" w:sz="1" w:space="0" w:color="795548"/>
              <w:bottom w:val="single" w:sz="1" w:space="0" w:color="795548"/>
              <w:right w:val="single" w:sz="1" w:space="0" w:color="795548"/>
            </w:tcBorders>
            <w:shd w:val="clear" w:color="auto" w:fill="4E342E"/>
            <w:tcMar>
              <w:top w:w="60" w:type="dxa"/>
              <w:left w:w="80" w:type="dxa"/>
              <w:bottom w:w="60" w:type="dxa"/>
              <w:right w:w="80" w:type="dxa"/>
            </w:tcMar>
            <w:vAlign w:val="center"/>
          </w:tcPr>
          <w:p w14:paraId="6C376126" w14:textId="77777777" w:rsidR="0030440B" w:rsidRDefault="00605F6E">
            <w:pPr>
              <w:jc w:val="center"/>
            </w:pPr>
            <w:r>
              <w:rPr>
                <w:b/>
                <w:bCs/>
                <w:color w:val="FFFFFF"/>
                <w:sz w:val="20"/>
                <w:szCs w:val="20"/>
              </w:rPr>
              <w:t>글로벌 모델</w:t>
            </w:r>
          </w:p>
        </w:tc>
        <w:tc>
          <w:tcPr>
            <w:tcW w:w="2333" w:type="dxa"/>
            <w:tcBorders>
              <w:top w:val="single" w:sz="1" w:space="0" w:color="795548"/>
              <w:left w:val="single" w:sz="1" w:space="0" w:color="795548"/>
              <w:bottom w:val="single" w:sz="1" w:space="0" w:color="795548"/>
              <w:right w:val="single" w:sz="1" w:space="0" w:color="795548"/>
            </w:tcBorders>
            <w:shd w:val="clear" w:color="auto" w:fill="4E342E"/>
            <w:tcMar>
              <w:top w:w="60" w:type="dxa"/>
              <w:left w:w="80" w:type="dxa"/>
              <w:bottom w:w="60" w:type="dxa"/>
              <w:right w:w="80" w:type="dxa"/>
            </w:tcMar>
            <w:vAlign w:val="center"/>
          </w:tcPr>
          <w:p w14:paraId="6C376127" w14:textId="77777777" w:rsidR="0030440B" w:rsidRDefault="00605F6E">
            <w:pPr>
              <w:jc w:val="center"/>
            </w:pPr>
            <w:r>
              <w:rPr>
                <w:b/>
                <w:bCs/>
                <w:color w:val="FFFFFF"/>
                <w:sz w:val="20"/>
                <w:szCs w:val="20"/>
              </w:rPr>
              <w:t>한국형 모델 (제안)</w:t>
            </w:r>
          </w:p>
        </w:tc>
        <w:tc>
          <w:tcPr>
            <w:tcW w:w="2334" w:type="dxa"/>
            <w:tcBorders>
              <w:top w:val="single" w:sz="1" w:space="0" w:color="795548"/>
              <w:left w:val="single" w:sz="1" w:space="0" w:color="795548"/>
              <w:bottom w:val="single" w:sz="1" w:space="0" w:color="795548"/>
              <w:right w:val="single" w:sz="1" w:space="0" w:color="795548"/>
            </w:tcBorders>
            <w:shd w:val="clear" w:color="auto" w:fill="4E342E"/>
            <w:tcMar>
              <w:top w:w="60" w:type="dxa"/>
              <w:left w:w="80" w:type="dxa"/>
              <w:bottom w:w="60" w:type="dxa"/>
              <w:right w:w="80" w:type="dxa"/>
            </w:tcMar>
            <w:vAlign w:val="center"/>
          </w:tcPr>
          <w:p w14:paraId="6C376128" w14:textId="77777777" w:rsidR="0030440B" w:rsidRDefault="00605F6E">
            <w:pPr>
              <w:jc w:val="center"/>
            </w:pPr>
            <w:r>
              <w:rPr>
                <w:b/>
                <w:bCs/>
                <w:color w:val="FFFFFF"/>
                <w:sz w:val="20"/>
                <w:szCs w:val="20"/>
              </w:rPr>
              <w:t>비고</w:t>
            </w:r>
          </w:p>
        </w:tc>
      </w:tr>
      <w:tr w:rsidR="0030440B" w14:paraId="6C37612E" w14:textId="77777777">
        <w:tc>
          <w:tcPr>
            <w:tcW w:w="2000" w:type="dxa"/>
            <w:tcBorders>
              <w:top w:val="single" w:sz="1" w:space="0" w:color="795548"/>
              <w:left w:val="single" w:sz="1" w:space="0" w:color="795548"/>
              <w:bottom w:val="single" w:sz="1" w:space="0" w:color="795548"/>
              <w:right w:val="single" w:sz="1" w:space="0" w:color="795548"/>
            </w:tcBorders>
            <w:shd w:val="clear" w:color="auto" w:fill="EFEBE9"/>
            <w:tcMar>
              <w:top w:w="50" w:type="dxa"/>
              <w:left w:w="80" w:type="dxa"/>
              <w:bottom w:w="50" w:type="dxa"/>
              <w:right w:w="80" w:type="dxa"/>
            </w:tcMar>
          </w:tcPr>
          <w:p w14:paraId="6C37612A" w14:textId="77777777" w:rsidR="0030440B" w:rsidRDefault="00605F6E">
            <w:r>
              <w:rPr>
                <w:b/>
                <w:bCs/>
                <w:sz w:val="20"/>
                <w:szCs w:val="20"/>
              </w:rPr>
              <w:t>운영 주체</w:t>
            </w:r>
          </w:p>
        </w:tc>
        <w:tc>
          <w:tcPr>
            <w:tcW w:w="2333" w:type="dxa"/>
            <w:tcBorders>
              <w:top w:val="single" w:sz="1" w:space="0" w:color="795548"/>
              <w:left w:val="single" w:sz="1" w:space="0" w:color="795548"/>
              <w:bottom w:val="single" w:sz="1" w:space="0" w:color="795548"/>
              <w:right w:val="single" w:sz="1" w:space="0" w:color="795548"/>
            </w:tcBorders>
            <w:shd w:val="clear" w:color="auto" w:fill="EFEBE9"/>
            <w:tcMar>
              <w:top w:w="50" w:type="dxa"/>
              <w:left w:w="80" w:type="dxa"/>
              <w:bottom w:w="50" w:type="dxa"/>
              <w:right w:w="80" w:type="dxa"/>
            </w:tcMar>
          </w:tcPr>
          <w:p w14:paraId="6C37612B" w14:textId="77777777" w:rsidR="0030440B" w:rsidRDefault="00605F6E">
            <w:r>
              <w:rPr>
                <w:sz w:val="20"/>
                <w:szCs w:val="20"/>
              </w:rPr>
              <w:t>민간 컨소시엄</w:t>
            </w:r>
          </w:p>
        </w:tc>
        <w:tc>
          <w:tcPr>
            <w:tcW w:w="2333" w:type="dxa"/>
            <w:tcBorders>
              <w:top w:val="single" w:sz="1" w:space="0" w:color="795548"/>
              <w:left w:val="single" w:sz="1" w:space="0" w:color="795548"/>
              <w:bottom w:val="single" w:sz="1" w:space="0" w:color="795548"/>
              <w:right w:val="single" w:sz="1" w:space="0" w:color="795548"/>
            </w:tcBorders>
            <w:shd w:val="clear" w:color="auto" w:fill="EFEBE9"/>
            <w:tcMar>
              <w:top w:w="50" w:type="dxa"/>
              <w:left w:w="80" w:type="dxa"/>
              <w:bottom w:w="50" w:type="dxa"/>
              <w:right w:w="80" w:type="dxa"/>
            </w:tcMar>
          </w:tcPr>
          <w:p w14:paraId="6C37612C" w14:textId="77777777" w:rsidR="0030440B" w:rsidRDefault="00605F6E">
            <w:r>
              <w:rPr>
                <w:sz w:val="20"/>
                <w:szCs w:val="20"/>
              </w:rPr>
              <w:t>KSD(법적 CSD) + 한국은행</w:t>
            </w:r>
          </w:p>
        </w:tc>
        <w:tc>
          <w:tcPr>
            <w:tcW w:w="2334" w:type="dxa"/>
            <w:tcBorders>
              <w:top w:val="single" w:sz="1" w:space="0" w:color="795548"/>
              <w:left w:val="single" w:sz="1" w:space="0" w:color="795548"/>
              <w:bottom w:val="single" w:sz="1" w:space="0" w:color="795548"/>
              <w:right w:val="single" w:sz="1" w:space="0" w:color="795548"/>
            </w:tcBorders>
            <w:shd w:val="clear" w:color="auto" w:fill="EFEBE9"/>
            <w:tcMar>
              <w:top w:w="50" w:type="dxa"/>
              <w:left w:w="80" w:type="dxa"/>
              <w:bottom w:w="50" w:type="dxa"/>
              <w:right w:w="80" w:type="dxa"/>
            </w:tcMar>
          </w:tcPr>
          <w:p w14:paraId="6C37612D" w14:textId="77777777" w:rsidR="0030440B" w:rsidRDefault="00605F6E">
            <w:r>
              <w:rPr>
                <w:sz w:val="20"/>
                <w:szCs w:val="20"/>
              </w:rPr>
              <w:t>단일 주체로 파편화 방지</w:t>
            </w:r>
          </w:p>
        </w:tc>
      </w:tr>
      <w:tr w:rsidR="0030440B" w14:paraId="6C376133" w14:textId="77777777">
        <w:tc>
          <w:tcPr>
            <w:tcW w:w="2000" w:type="dxa"/>
            <w:tcBorders>
              <w:top w:val="single" w:sz="1" w:space="0" w:color="795548"/>
              <w:left w:val="single" w:sz="1" w:space="0" w:color="795548"/>
              <w:bottom w:val="single" w:sz="1" w:space="0" w:color="795548"/>
              <w:right w:val="single" w:sz="1" w:space="0" w:color="795548"/>
            </w:tcBorders>
            <w:shd w:val="clear" w:color="auto" w:fill="FFFFFF"/>
            <w:tcMar>
              <w:top w:w="50" w:type="dxa"/>
              <w:left w:w="80" w:type="dxa"/>
              <w:bottom w:w="50" w:type="dxa"/>
              <w:right w:w="80" w:type="dxa"/>
            </w:tcMar>
          </w:tcPr>
          <w:p w14:paraId="6C37612F" w14:textId="77777777" w:rsidR="0030440B" w:rsidRDefault="00605F6E">
            <w:r>
              <w:rPr>
                <w:b/>
                <w:bCs/>
                <w:sz w:val="20"/>
                <w:szCs w:val="20"/>
              </w:rPr>
              <w:t>현금 결제</w:t>
            </w:r>
          </w:p>
        </w:tc>
        <w:tc>
          <w:tcPr>
            <w:tcW w:w="2333" w:type="dxa"/>
            <w:tcBorders>
              <w:top w:val="single" w:sz="1" w:space="0" w:color="795548"/>
              <w:left w:val="single" w:sz="1" w:space="0" w:color="795548"/>
              <w:bottom w:val="single" w:sz="1" w:space="0" w:color="795548"/>
              <w:right w:val="single" w:sz="1" w:space="0" w:color="795548"/>
            </w:tcBorders>
            <w:shd w:val="clear" w:color="auto" w:fill="FFFFFF"/>
            <w:tcMar>
              <w:top w:w="50" w:type="dxa"/>
              <w:left w:w="80" w:type="dxa"/>
              <w:bottom w:w="50" w:type="dxa"/>
              <w:right w:w="80" w:type="dxa"/>
            </w:tcMar>
          </w:tcPr>
          <w:p w14:paraId="6C376130" w14:textId="77777777" w:rsidR="0030440B" w:rsidRDefault="00605F6E">
            <w:r>
              <w:rPr>
                <w:sz w:val="20"/>
                <w:szCs w:val="20"/>
              </w:rPr>
              <w:t>JPM Coin, Fnality USD</w:t>
            </w:r>
          </w:p>
        </w:tc>
        <w:tc>
          <w:tcPr>
            <w:tcW w:w="2333" w:type="dxa"/>
            <w:tcBorders>
              <w:top w:val="single" w:sz="1" w:space="0" w:color="795548"/>
              <w:left w:val="single" w:sz="1" w:space="0" w:color="795548"/>
              <w:bottom w:val="single" w:sz="1" w:space="0" w:color="795548"/>
              <w:right w:val="single" w:sz="1" w:space="0" w:color="795548"/>
            </w:tcBorders>
            <w:shd w:val="clear" w:color="auto" w:fill="FFFFFF"/>
            <w:tcMar>
              <w:top w:w="50" w:type="dxa"/>
              <w:left w:w="80" w:type="dxa"/>
              <w:bottom w:w="50" w:type="dxa"/>
              <w:right w:w="80" w:type="dxa"/>
            </w:tcMar>
          </w:tcPr>
          <w:p w14:paraId="6C376131" w14:textId="77777777" w:rsidR="0030440B" w:rsidRDefault="00605F6E">
            <w:r>
              <w:rPr>
                <w:sz w:val="20"/>
                <w:szCs w:val="20"/>
              </w:rPr>
              <w:t>토큰화 원화(CBDC/토큰예금)</w:t>
            </w:r>
          </w:p>
        </w:tc>
        <w:tc>
          <w:tcPr>
            <w:tcW w:w="2334" w:type="dxa"/>
            <w:tcBorders>
              <w:top w:val="single" w:sz="1" w:space="0" w:color="795548"/>
              <w:left w:val="single" w:sz="1" w:space="0" w:color="795548"/>
              <w:bottom w:val="single" w:sz="1" w:space="0" w:color="795548"/>
              <w:right w:val="single" w:sz="1" w:space="0" w:color="795548"/>
            </w:tcBorders>
            <w:shd w:val="clear" w:color="auto" w:fill="FFFFFF"/>
            <w:tcMar>
              <w:top w:w="50" w:type="dxa"/>
              <w:left w:w="80" w:type="dxa"/>
              <w:bottom w:w="50" w:type="dxa"/>
              <w:right w:w="80" w:type="dxa"/>
            </w:tcMar>
          </w:tcPr>
          <w:p w14:paraId="6C376132" w14:textId="77777777" w:rsidR="0030440B" w:rsidRDefault="00605F6E">
            <w:r>
              <w:rPr>
                <w:sz w:val="20"/>
                <w:szCs w:val="20"/>
              </w:rPr>
              <w:t>원화 기반</w:t>
            </w:r>
          </w:p>
        </w:tc>
      </w:tr>
      <w:tr w:rsidR="0030440B" w14:paraId="6C376138" w14:textId="77777777">
        <w:tc>
          <w:tcPr>
            <w:tcW w:w="2000" w:type="dxa"/>
            <w:tcBorders>
              <w:top w:val="single" w:sz="1" w:space="0" w:color="795548"/>
              <w:left w:val="single" w:sz="1" w:space="0" w:color="795548"/>
              <w:bottom w:val="single" w:sz="1" w:space="0" w:color="795548"/>
              <w:right w:val="single" w:sz="1" w:space="0" w:color="795548"/>
            </w:tcBorders>
            <w:shd w:val="clear" w:color="auto" w:fill="EFEBE9"/>
            <w:tcMar>
              <w:top w:w="50" w:type="dxa"/>
              <w:left w:w="80" w:type="dxa"/>
              <w:bottom w:w="50" w:type="dxa"/>
              <w:right w:w="80" w:type="dxa"/>
            </w:tcMar>
          </w:tcPr>
          <w:p w14:paraId="6C376134" w14:textId="77777777" w:rsidR="0030440B" w:rsidRDefault="00605F6E">
            <w:r>
              <w:rPr>
                <w:b/>
                <w:bCs/>
                <w:sz w:val="20"/>
                <w:szCs w:val="20"/>
              </w:rPr>
              <w:t>담보 자산</w:t>
            </w:r>
          </w:p>
        </w:tc>
        <w:tc>
          <w:tcPr>
            <w:tcW w:w="2333" w:type="dxa"/>
            <w:tcBorders>
              <w:top w:val="single" w:sz="1" w:space="0" w:color="795548"/>
              <w:left w:val="single" w:sz="1" w:space="0" w:color="795548"/>
              <w:bottom w:val="single" w:sz="1" w:space="0" w:color="795548"/>
              <w:right w:val="single" w:sz="1" w:space="0" w:color="795548"/>
            </w:tcBorders>
            <w:shd w:val="clear" w:color="auto" w:fill="EFEBE9"/>
            <w:tcMar>
              <w:top w:w="50" w:type="dxa"/>
              <w:left w:w="80" w:type="dxa"/>
              <w:bottom w:w="50" w:type="dxa"/>
              <w:right w:w="80" w:type="dxa"/>
            </w:tcMar>
          </w:tcPr>
          <w:p w14:paraId="6C376135" w14:textId="77777777" w:rsidR="0030440B" w:rsidRDefault="00605F6E">
            <w:r>
              <w:rPr>
                <w:sz w:val="20"/>
                <w:szCs w:val="20"/>
              </w:rPr>
              <w:t>토큰화 미국 국채</w:t>
            </w:r>
          </w:p>
        </w:tc>
        <w:tc>
          <w:tcPr>
            <w:tcW w:w="2333" w:type="dxa"/>
            <w:tcBorders>
              <w:top w:val="single" w:sz="1" w:space="0" w:color="795548"/>
              <w:left w:val="single" w:sz="1" w:space="0" w:color="795548"/>
              <w:bottom w:val="single" w:sz="1" w:space="0" w:color="795548"/>
              <w:right w:val="single" w:sz="1" w:space="0" w:color="795548"/>
            </w:tcBorders>
            <w:shd w:val="clear" w:color="auto" w:fill="EFEBE9"/>
            <w:tcMar>
              <w:top w:w="50" w:type="dxa"/>
              <w:left w:w="80" w:type="dxa"/>
              <w:bottom w:w="50" w:type="dxa"/>
              <w:right w:w="80" w:type="dxa"/>
            </w:tcMar>
          </w:tcPr>
          <w:p w14:paraId="6C376136" w14:textId="77777777" w:rsidR="0030440B" w:rsidRDefault="00605F6E">
            <w:r>
              <w:rPr>
                <w:sz w:val="20"/>
                <w:szCs w:val="20"/>
              </w:rPr>
              <w:t>토큰화 한국 국채·통안채</w:t>
            </w:r>
          </w:p>
        </w:tc>
        <w:tc>
          <w:tcPr>
            <w:tcW w:w="2334" w:type="dxa"/>
            <w:tcBorders>
              <w:top w:val="single" w:sz="1" w:space="0" w:color="795548"/>
              <w:left w:val="single" w:sz="1" w:space="0" w:color="795548"/>
              <w:bottom w:val="single" w:sz="1" w:space="0" w:color="795548"/>
              <w:right w:val="single" w:sz="1" w:space="0" w:color="795548"/>
            </w:tcBorders>
            <w:shd w:val="clear" w:color="auto" w:fill="EFEBE9"/>
            <w:tcMar>
              <w:top w:w="50" w:type="dxa"/>
              <w:left w:w="80" w:type="dxa"/>
              <w:bottom w:w="50" w:type="dxa"/>
              <w:right w:w="80" w:type="dxa"/>
            </w:tcMar>
          </w:tcPr>
          <w:p w14:paraId="6C376137" w14:textId="77777777" w:rsidR="0030440B" w:rsidRDefault="00605F6E">
            <w:r>
              <w:rPr>
                <w:sz w:val="20"/>
                <w:szCs w:val="20"/>
              </w:rPr>
              <w:t>국내 자산 특화</w:t>
            </w:r>
          </w:p>
        </w:tc>
      </w:tr>
      <w:tr w:rsidR="0030440B" w14:paraId="6C37613D" w14:textId="77777777">
        <w:tc>
          <w:tcPr>
            <w:tcW w:w="2000" w:type="dxa"/>
            <w:tcBorders>
              <w:top w:val="single" w:sz="1" w:space="0" w:color="795548"/>
              <w:left w:val="single" w:sz="1" w:space="0" w:color="795548"/>
              <w:bottom w:val="single" w:sz="1" w:space="0" w:color="795548"/>
              <w:right w:val="single" w:sz="1" w:space="0" w:color="795548"/>
            </w:tcBorders>
            <w:shd w:val="clear" w:color="auto" w:fill="FFFFFF"/>
            <w:tcMar>
              <w:top w:w="50" w:type="dxa"/>
              <w:left w:w="80" w:type="dxa"/>
              <w:bottom w:w="50" w:type="dxa"/>
              <w:right w:w="80" w:type="dxa"/>
            </w:tcMar>
          </w:tcPr>
          <w:p w14:paraId="6C376139" w14:textId="77777777" w:rsidR="0030440B" w:rsidRDefault="00605F6E">
            <w:r>
              <w:rPr>
                <w:b/>
                <w:bCs/>
                <w:sz w:val="20"/>
                <w:szCs w:val="20"/>
              </w:rPr>
              <w:t>금리 기준</w:t>
            </w:r>
          </w:p>
        </w:tc>
        <w:tc>
          <w:tcPr>
            <w:tcW w:w="2333" w:type="dxa"/>
            <w:tcBorders>
              <w:top w:val="single" w:sz="1" w:space="0" w:color="795548"/>
              <w:left w:val="single" w:sz="1" w:space="0" w:color="795548"/>
              <w:bottom w:val="single" w:sz="1" w:space="0" w:color="795548"/>
              <w:right w:val="single" w:sz="1" w:space="0" w:color="795548"/>
            </w:tcBorders>
            <w:shd w:val="clear" w:color="auto" w:fill="FFFFFF"/>
            <w:tcMar>
              <w:top w:w="50" w:type="dxa"/>
              <w:left w:w="80" w:type="dxa"/>
              <w:bottom w:w="50" w:type="dxa"/>
              <w:right w:w="80" w:type="dxa"/>
            </w:tcMar>
          </w:tcPr>
          <w:p w14:paraId="6C37613A" w14:textId="77777777" w:rsidR="0030440B" w:rsidRDefault="00605F6E">
            <w:r>
              <w:rPr>
                <w:sz w:val="20"/>
                <w:szCs w:val="20"/>
              </w:rPr>
              <w:t>SOFR</w:t>
            </w:r>
          </w:p>
        </w:tc>
        <w:tc>
          <w:tcPr>
            <w:tcW w:w="2333" w:type="dxa"/>
            <w:tcBorders>
              <w:top w:val="single" w:sz="1" w:space="0" w:color="795548"/>
              <w:left w:val="single" w:sz="1" w:space="0" w:color="795548"/>
              <w:bottom w:val="single" w:sz="1" w:space="0" w:color="795548"/>
              <w:right w:val="single" w:sz="1" w:space="0" w:color="795548"/>
            </w:tcBorders>
            <w:shd w:val="clear" w:color="auto" w:fill="FFFFFF"/>
            <w:tcMar>
              <w:top w:w="50" w:type="dxa"/>
              <w:left w:w="80" w:type="dxa"/>
              <w:bottom w:w="50" w:type="dxa"/>
              <w:right w:w="80" w:type="dxa"/>
            </w:tcMar>
          </w:tcPr>
          <w:p w14:paraId="6C37613B" w14:textId="77777777" w:rsidR="0030440B" w:rsidRDefault="00605F6E">
            <w:r>
              <w:rPr>
                <w:sz w:val="20"/>
                <w:szCs w:val="20"/>
              </w:rPr>
              <w:t>KOFR</w:t>
            </w:r>
          </w:p>
        </w:tc>
        <w:tc>
          <w:tcPr>
            <w:tcW w:w="2334" w:type="dxa"/>
            <w:tcBorders>
              <w:top w:val="single" w:sz="1" w:space="0" w:color="795548"/>
              <w:left w:val="single" w:sz="1" w:space="0" w:color="795548"/>
              <w:bottom w:val="single" w:sz="1" w:space="0" w:color="795548"/>
              <w:right w:val="single" w:sz="1" w:space="0" w:color="795548"/>
            </w:tcBorders>
            <w:shd w:val="clear" w:color="auto" w:fill="FFFFFF"/>
            <w:tcMar>
              <w:top w:w="50" w:type="dxa"/>
              <w:left w:w="80" w:type="dxa"/>
              <w:bottom w:w="50" w:type="dxa"/>
              <w:right w:w="80" w:type="dxa"/>
            </w:tcMar>
          </w:tcPr>
          <w:p w14:paraId="6C37613C" w14:textId="77777777" w:rsidR="0030440B" w:rsidRDefault="00605F6E">
            <w:r>
              <w:rPr>
                <w:sz w:val="20"/>
                <w:szCs w:val="20"/>
              </w:rPr>
              <w:t>CIR 모형 적용</w:t>
            </w:r>
          </w:p>
        </w:tc>
      </w:tr>
      <w:tr w:rsidR="0030440B" w14:paraId="6C376142" w14:textId="77777777">
        <w:tc>
          <w:tcPr>
            <w:tcW w:w="2000" w:type="dxa"/>
            <w:tcBorders>
              <w:top w:val="single" w:sz="1" w:space="0" w:color="795548"/>
              <w:left w:val="single" w:sz="1" w:space="0" w:color="795548"/>
              <w:bottom w:val="single" w:sz="1" w:space="0" w:color="795548"/>
              <w:right w:val="single" w:sz="1" w:space="0" w:color="795548"/>
            </w:tcBorders>
            <w:shd w:val="clear" w:color="auto" w:fill="EFEBE9"/>
            <w:tcMar>
              <w:top w:w="50" w:type="dxa"/>
              <w:left w:w="80" w:type="dxa"/>
              <w:bottom w:w="50" w:type="dxa"/>
              <w:right w:w="80" w:type="dxa"/>
            </w:tcMar>
          </w:tcPr>
          <w:p w14:paraId="6C37613E" w14:textId="77777777" w:rsidR="0030440B" w:rsidRDefault="00605F6E">
            <w:r>
              <w:rPr>
                <w:b/>
                <w:bCs/>
                <w:sz w:val="20"/>
                <w:szCs w:val="20"/>
              </w:rPr>
              <w:t>규제 노드</w:t>
            </w:r>
          </w:p>
        </w:tc>
        <w:tc>
          <w:tcPr>
            <w:tcW w:w="2333" w:type="dxa"/>
            <w:tcBorders>
              <w:top w:val="single" w:sz="1" w:space="0" w:color="795548"/>
              <w:left w:val="single" w:sz="1" w:space="0" w:color="795548"/>
              <w:bottom w:val="single" w:sz="1" w:space="0" w:color="795548"/>
              <w:right w:val="single" w:sz="1" w:space="0" w:color="795548"/>
            </w:tcBorders>
            <w:shd w:val="clear" w:color="auto" w:fill="EFEBE9"/>
            <w:tcMar>
              <w:top w:w="50" w:type="dxa"/>
              <w:left w:w="80" w:type="dxa"/>
              <w:bottom w:w="50" w:type="dxa"/>
              <w:right w:w="80" w:type="dxa"/>
            </w:tcMar>
          </w:tcPr>
          <w:p w14:paraId="6C37613F" w14:textId="77777777" w:rsidR="0030440B" w:rsidRDefault="00605F6E">
            <w:r>
              <w:rPr>
                <w:sz w:val="20"/>
                <w:szCs w:val="20"/>
              </w:rPr>
              <w:t>없음</w:t>
            </w:r>
          </w:p>
        </w:tc>
        <w:tc>
          <w:tcPr>
            <w:tcW w:w="2333" w:type="dxa"/>
            <w:tcBorders>
              <w:top w:val="single" w:sz="1" w:space="0" w:color="795548"/>
              <w:left w:val="single" w:sz="1" w:space="0" w:color="795548"/>
              <w:bottom w:val="single" w:sz="1" w:space="0" w:color="795548"/>
              <w:right w:val="single" w:sz="1" w:space="0" w:color="795548"/>
            </w:tcBorders>
            <w:shd w:val="clear" w:color="auto" w:fill="EFEBE9"/>
            <w:tcMar>
              <w:top w:w="50" w:type="dxa"/>
              <w:left w:w="80" w:type="dxa"/>
              <w:bottom w:w="50" w:type="dxa"/>
              <w:right w:w="80" w:type="dxa"/>
            </w:tcMar>
          </w:tcPr>
          <w:p w14:paraId="6C376140" w14:textId="77777777" w:rsidR="0030440B" w:rsidRDefault="00605F6E">
            <w:r>
              <w:rPr>
                <w:sz w:val="20"/>
                <w:szCs w:val="20"/>
              </w:rPr>
              <w:t>FSS 실시간 감독 노드</w:t>
            </w:r>
          </w:p>
        </w:tc>
        <w:tc>
          <w:tcPr>
            <w:tcW w:w="2334" w:type="dxa"/>
            <w:tcBorders>
              <w:top w:val="single" w:sz="1" w:space="0" w:color="795548"/>
              <w:left w:val="single" w:sz="1" w:space="0" w:color="795548"/>
              <w:bottom w:val="single" w:sz="1" w:space="0" w:color="795548"/>
              <w:right w:val="single" w:sz="1" w:space="0" w:color="795548"/>
            </w:tcBorders>
            <w:shd w:val="clear" w:color="auto" w:fill="EFEBE9"/>
            <w:tcMar>
              <w:top w:w="50" w:type="dxa"/>
              <w:left w:w="80" w:type="dxa"/>
              <w:bottom w:w="50" w:type="dxa"/>
              <w:right w:w="80" w:type="dxa"/>
            </w:tcMar>
          </w:tcPr>
          <w:p w14:paraId="6C376141" w14:textId="77777777" w:rsidR="0030440B" w:rsidRDefault="00605F6E">
            <w:r>
              <w:rPr>
                <w:sz w:val="20"/>
                <w:szCs w:val="20"/>
              </w:rPr>
              <w:t>본 연구의 고유 설계</w:t>
            </w:r>
          </w:p>
        </w:tc>
      </w:tr>
    </w:tbl>
    <w:p w14:paraId="6AA41379" w14:textId="24B28F74" w:rsidR="00A42E45" w:rsidRPr="00A42E45" w:rsidRDefault="00A42E45" w:rsidP="00A42E45">
      <w:pPr>
        <w:spacing w:before="200" w:after="80"/>
        <w:jc w:val="center"/>
      </w:pPr>
      <w:r w:rsidRPr="00A42E45">
        <w:rPr>
          <w:b/>
          <w:bCs/>
          <w:sz w:val="20"/>
          <w:szCs w:val="20"/>
        </w:rPr>
        <w:t xml:space="preserve">표 </w:t>
      </w:r>
      <w:r w:rsidRPr="00A42E45">
        <w:rPr>
          <w:rFonts w:hint="eastAsia"/>
          <w:b/>
          <w:bCs/>
          <w:sz w:val="20"/>
          <w:szCs w:val="20"/>
        </w:rPr>
        <w:t>2</w:t>
      </w:r>
      <w:r w:rsidRPr="00A42E45">
        <w:rPr>
          <w:sz w:val="20"/>
          <w:szCs w:val="20"/>
        </w:rPr>
        <w:t>. 한국형 모델과 글로벌 모델 비교</w:t>
      </w:r>
    </w:p>
    <w:p w14:paraId="6C376143" w14:textId="77777777" w:rsidR="0030440B" w:rsidRPr="00A42E45" w:rsidRDefault="0030440B"/>
    <w:p w14:paraId="6C376144" w14:textId="77777777" w:rsidR="0030440B" w:rsidRDefault="00605F6E">
      <w:pPr>
        <w:pStyle w:val="2"/>
      </w:pPr>
      <w:bookmarkStart w:id="32" w:name="_Toc223089367"/>
      <w:r>
        <w:t xml:space="preserve">4.6 글로벌 플랫폼 대비 </w:t>
      </w:r>
      <w:proofErr w:type="spellStart"/>
      <w:r>
        <w:t>차별점</w:t>
      </w:r>
      <w:bookmarkEnd w:id="32"/>
      <w:proofErr w:type="spellEnd"/>
    </w:p>
    <w:p w14:paraId="6C376147" w14:textId="15960AA7" w:rsidR="0030440B" w:rsidRDefault="00605F6E" w:rsidP="00A42E45">
      <w:pPr>
        <w:jc w:val="both"/>
      </w:pPr>
      <w:r>
        <w:t xml:space="preserve">본 연구의 3대 학술적 기여는 다음과 같다. 첫째, 일중 변동성 기반 실시간 헤어컷 조정 로직을 최초로 제안한 동적 헤어컷 모델이다. 둘째, 유동성·헤어컷·버퍼 3개 채널의 경제적 편익을 단일 수식으로 통합한 TEB 통합 모델이다. 셋째, </w:t>
      </w:r>
      <w:r>
        <w:lastRenderedPageBreak/>
        <w:t>CSD(KSD) 중심의 허가형 모델과 규제 프레임워크 개정안을 동시 제안하는 한국형 규제 적합성 설계이다.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33"/>
        <w:gridCol w:w="2333"/>
        <w:gridCol w:w="2334"/>
      </w:tblGrid>
      <w:tr w:rsidR="0030440B" w14:paraId="6C37614C" w14:textId="77777777">
        <w:tc>
          <w:tcPr>
            <w:tcW w:w="2000" w:type="dxa"/>
            <w:tcBorders>
              <w:top w:val="single" w:sz="1" w:space="0" w:color="795548"/>
              <w:left w:val="single" w:sz="1" w:space="0" w:color="795548"/>
              <w:bottom w:val="single" w:sz="1" w:space="0" w:color="795548"/>
              <w:right w:val="single" w:sz="1" w:space="0" w:color="795548"/>
            </w:tcBorders>
            <w:shd w:val="clear" w:color="auto" w:fill="4E342E"/>
            <w:tcMar>
              <w:top w:w="60" w:type="dxa"/>
              <w:left w:w="80" w:type="dxa"/>
              <w:bottom w:w="60" w:type="dxa"/>
              <w:right w:w="80" w:type="dxa"/>
            </w:tcMar>
            <w:vAlign w:val="center"/>
          </w:tcPr>
          <w:p w14:paraId="6C376148" w14:textId="77777777" w:rsidR="0030440B" w:rsidRDefault="00605F6E">
            <w:pPr>
              <w:jc w:val="center"/>
            </w:pPr>
            <w:r>
              <w:rPr>
                <w:b/>
                <w:bCs/>
                <w:color w:val="FFFFFF"/>
                <w:sz w:val="20"/>
                <w:szCs w:val="20"/>
              </w:rPr>
              <w:t>비교 항목</w:t>
            </w:r>
          </w:p>
        </w:tc>
        <w:tc>
          <w:tcPr>
            <w:tcW w:w="2333" w:type="dxa"/>
            <w:tcBorders>
              <w:top w:val="single" w:sz="1" w:space="0" w:color="795548"/>
              <w:left w:val="single" w:sz="1" w:space="0" w:color="795548"/>
              <w:bottom w:val="single" w:sz="1" w:space="0" w:color="795548"/>
              <w:right w:val="single" w:sz="1" w:space="0" w:color="795548"/>
            </w:tcBorders>
            <w:shd w:val="clear" w:color="auto" w:fill="4E342E"/>
            <w:tcMar>
              <w:top w:w="60" w:type="dxa"/>
              <w:left w:w="80" w:type="dxa"/>
              <w:bottom w:w="60" w:type="dxa"/>
              <w:right w:w="80" w:type="dxa"/>
            </w:tcMar>
            <w:vAlign w:val="center"/>
          </w:tcPr>
          <w:p w14:paraId="6C376149" w14:textId="77777777" w:rsidR="0030440B" w:rsidRDefault="00605F6E">
            <w:pPr>
              <w:jc w:val="center"/>
            </w:pPr>
            <w:r>
              <w:rPr>
                <w:b/>
                <w:bCs/>
                <w:color w:val="FFFFFF"/>
                <w:sz w:val="20"/>
                <w:szCs w:val="20"/>
              </w:rPr>
              <w:t>Broadridge DLR</w:t>
            </w:r>
          </w:p>
        </w:tc>
        <w:tc>
          <w:tcPr>
            <w:tcW w:w="2333" w:type="dxa"/>
            <w:tcBorders>
              <w:top w:val="single" w:sz="1" w:space="0" w:color="795548"/>
              <w:left w:val="single" w:sz="1" w:space="0" w:color="795548"/>
              <w:bottom w:val="single" w:sz="1" w:space="0" w:color="795548"/>
              <w:right w:val="single" w:sz="1" w:space="0" w:color="795548"/>
            </w:tcBorders>
            <w:shd w:val="clear" w:color="auto" w:fill="4E342E"/>
            <w:tcMar>
              <w:top w:w="60" w:type="dxa"/>
              <w:left w:w="80" w:type="dxa"/>
              <w:bottom w:w="60" w:type="dxa"/>
              <w:right w:w="80" w:type="dxa"/>
            </w:tcMar>
            <w:vAlign w:val="center"/>
          </w:tcPr>
          <w:p w14:paraId="6C37614A" w14:textId="77777777" w:rsidR="0030440B" w:rsidRDefault="00605F6E">
            <w:pPr>
              <w:jc w:val="center"/>
            </w:pPr>
            <w:r>
              <w:rPr>
                <w:b/>
                <w:bCs/>
                <w:color w:val="FFFFFF"/>
                <w:sz w:val="20"/>
                <w:szCs w:val="20"/>
              </w:rPr>
              <w:t>JPMorgan Kinexys</w:t>
            </w:r>
          </w:p>
        </w:tc>
        <w:tc>
          <w:tcPr>
            <w:tcW w:w="2334" w:type="dxa"/>
            <w:tcBorders>
              <w:top w:val="single" w:sz="1" w:space="0" w:color="795548"/>
              <w:left w:val="single" w:sz="1" w:space="0" w:color="795548"/>
              <w:bottom w:val="single" w:sz="1" w:space="0" w:color="795548"/>
              <w:right w:val="single" w:sz="1" w:space="0" w:color="795548"/>
            </w:tcBorders>
            <w:shd w:val="clear" w:color="auto" w:fill="4E342E"/>
            <w:tcMar>
              <w:top w:w="60" w:type="dxa"/>
              <w:left w:w="80" w:type="dxa"/>
              <w:bottom w:w="60" w:type="dxa"/>
              <w:right w:w="80" w:type="dxa"/>
            </w:tcMar>
            <w:vAlign w:val="center"/>
          </w:tcPr>
          <w:p w14:paraId="6C37614B" w14:textId="77777777" w:rsidR="0030440B" w:rsidRDefault="00605F6E">
            <w:pPr>
              <w:jc w:val="center"/>
            </w:pPr>
            <w:r>
              <w:rPr>
                <w:b/>
                <w:bCs/>
                <w:color w:val="FFFFFF"/>
                <w:sz w:val="20"/>
                <w:szCs w:val="20"/>
              </w:rPr>
              <w:t>본 연구 제안</w:t>
            </w:r>
          </w:p>
        </w:tc>
      </w:tr>
      <w:tr w:rsidR="0030440B" w14:paraId="6C376151" w14:textId="77777777">
        <w:tc>
          <w:tcPr>
            <w:tcW w:w="2000" w:type="dxa"/>
            <w:tcBorders>
              <w:top w:val="single" w:sz="1" w:space="0" w:color="795548"/>
              <w:left w:val="single" w:sz="1" w:space="0" w:color="795548"/>
              <w:bottom w:val="single" w:sz="1" w:space="0" w:color="795548"/>
              <w:right w:val="single" w:sz="1" w:space="0" w:color="795548"/>
            </w:tcBorders>
            <w:shd w:val="clear" w:color="auto" w:fill="EFEBE9"/>
            <w:tcMar>
              <w:top w:w="50" w:type="dxa"/>
              <w:left w:w="80" w:type="dxa"/>
              <w:bottom w:w="50" w:type="dxa"/>
              <w:right w:w="80" w:type="dxa"/>
            </w:tcMar>
          </w:tcPr>
          <w:p w14:paraId="6C37614D" w14:textId="77777777" w:rsidR="0030440B" w:rsidRDefault="00605F6E">
            <w:r>
              <w:rPr>
                <w:b/>
                <w:bCs/>
                <w:sz w:val="20"/>
                <w:szCs w:val="20"/>
              </w:rPr>
              <w:t>헤어컷 최적화</w:t>
            </w:r>
          </w:p>
        </w:tc>
        <w:tc>
          <w:tcPr>
            <w:tcW w:w="2333" w:type="dxa"/>
            <w:tcBorders>
              <w:top w:val="single" w:sz="1" w:space="0" w:color="795548"/>
              <w:left w:val="single" w:sz="1" w:space="0" w:color="795548"/>
              <w:bottom w:val="single" w:sz="1" w:space="0" w:color="795548"/>
              <w:right w:val="single" w:sz="1" w:space="0" w:color="795548"/>
            </w:tcBorders>
            <w:shd w:val="clear" w:color="auto" w:fill="EFEBE9"/>
            <w:tcMar>
              <w:top w:w="50" w:type="dxa"/>
              <w:left w:w="80" w:type="dxa"/>
              <w:bottom w:w="50" w:type="dxa"/>
              <w:right w:w="80" w:type="dxa"/>
            </w:tcMar>
          </w:tcPr>
          <w:p w14:paraId="6C37614E" w14:textId="77777777" w:rsidR="0030440B" w:rsidRDefault="00605F6E">
            <w:r>
              <w:rPr>
                <w:sz w:val="20"/>
                <w:szCs w:val="20"/>
              </w:rPr>
              <w:t>미적용(고정)</w:t>
            </w:r>
          </w:p>
        </w:tc>
        <w:tc>
          <w:tcPr>
            <w:tcW w:w="2333" w:type="dxa"/>
            <w:tcBorders>
              <w:top w:val="single" w:sz="1" w:space="0" w:color="795548"/>
              <w:left w:val="single" w:sz="1" w:space="0" w:color="795548"/>
              <w:bottom w:val="single" w:sz="1" w:space="0" w:color="795548"/>
              <w:right w:val="single" w:sz="1" w:space="0" w:color="795548"/>
            </w:tcBorders>
            <w:shd w:val="clear" w:color="auto" w:fill="EFEBE9"/>
            <w:tcMar>
              <w:top w:w="50" w:type="dxa"/>
              <w:left w:w="80" w:type="dxa"/>
              <w:bottom w:w="50" w:type="dxa"/>
              <w:right w:w="80" w:type="dxa"/>
            </w:tcMar>
          </w:tcPr>
          <w:p w14:paraId="6C37614F" w14:textId="77777777" w:rsidR="0030440B" w:rsidRDefault="00605F6E">
            <w:r>
              <w:rPr>
                <w:sz w:val="20"/>
                <w:szCs w:val="20"/>
              </w:rPr>
              <w:t>미적용</w:t>
            </w:r>
          </w:p>
        </w:tc>
        <w:tc>
          <w:tcPr>
            <w:tcW w:w="2334" w:type="dxa"/>
            <w:tcBorders>
              <w:top w:val="single" w:sz="1" w:space="0" w:color="795548"/>
              <w:left w:val="single" w:sz="1" w:space="0" w:color="795548"/>
              <w:bottom w:val="single" w:sz="1" w:space="0" w:color="795548"/>
              <w:right w:val="single" w:sz="1" w:space="0" w:color="795548"/>
            </w:tcBorders>
            <w:shd w:val="clear" w:color="auto" w:fill="EFEBE9"/>
            <w:tcMar>
              <w:top w:w="50" w:type="dxa"/>
              <w:left w:w="80" w:type="dxa"/>
              <w:bottom w:w="50" w:type="dxa"/>
              <w:right w:w="80" w:type="dxa"/>
            </w:tcMar>
          </w:tcPr>
          <w:p w14:paraId="6C376150" w14:textId="77777777" w:rsidR="0030440B" w:rsidRDefault="00605F6E">
            <w:r>
              <w:rPr>
                <w:b/>
                <w:bCs/>
                <w:sz w:val="20"/>
                <w:szCs w:val="20"/>
              </w:rPr>
              <w:t>적용(동적 일중)</w:t>
            </w:r>
          </w:p>
        </w:tc>
      </w:tr>
      <w:tr w:rsidR="0030440B" w14:paraId="6C376156" w14:textId="77777777">
        <w:tc>
          <w:tcPr>
            <w:tcW w:w="2000" w:type="dxa"/>
            <w:tcBorders>
              <w:top w:val="single" w:sz="1" w:space="0" w:color="795548"/>
              <w:left w:val="single" w:sz="1" w:space="0" w:color="795548"/>
              <w:bottom w:val="single" w:sz="1" w:space="0" w:color="795548"/>
              <w:right w:val="single" w:sz="1" w:space="0" w:color="795548"/>
            </w:tcBorders>
            <w:shd w:val="clear" w:color="auto" w:fill="FFFFFF"/>
            <w:tcMar>
              <w:top w:w="50" w:type="dxa"/>
              <w:left w:w="80" w:type="dxa"/>
              <w:bottom w:w="50" w:type="dxa"/>
              <w:right w:w="80" w:type="dxa"/>
            </w:tcMar>
          </w:tcPr>
          <w:p w14:paraId="6C376152" w14:textId="77777777" w:rsidR="0030440B" w:rsidRDefault="00605F6E">
            <w:r>
              <w:rPr>
                <w:b/>
                <w:bCs/>
                <w:sz w:val="20"/>
                <w:szCs w:val="20"/>
              </w:rPr>
              <w:t>금리 모델</w:t>
            </w:r>
          </w:p>
        </w:tc>
        <w:tc>
          <w:tcPr>
            <w:tcW w:w="2333" w:type="dxa"/>
            <w:tcBorders>
              <w:top w:val="single" w:sz="1" w:space="0" w:color="795548"/>
              <w:left w:val="single" w:sz="1" w:space="0" w:color="795548"/>
              <w:bottom w:val="single" w:sz="1" w:space="0" w:color="795548"/>
              <w:right w:val="single" w:sz="1" w:space="0" w:color="795548"/>
            </w:tcBorders>
            <w:shd w:val="clear" w:color="auto" w:fill="FFFFFF"/>
            <w:tcMar>
              <w:top w:w="50" w:type="dxa"/>
              <w:left w:w="80" w:type="dxa"/>
              <w:bottom w:w="50" w:type="dxa"/>
              <w:right w:w="80" w:type="dxa"/>
            </w:tcMar>
          </w:tcPr>
          <w:p w14:paraId="6C376153" w14:textId="77777777" w:rsidR="0030440B" w:rsidRDefault="00605F6E">
            <w:r>
              <w:rPr>
                <w:sz w:val="20"/>
                <w:szCs w:val="20"/>
              </w:rPr>
              <w:t>고정 금리</w:t>
            </w:r>
          </w:p>
        </w:tc>
        <w:tc>
          <w:tcPr>
            <w:tcW w:w="2333" w:type="dxa"/>
            <w:tcBorders>
              <w:top w:val="single" w:sz="1" w:space="0" w:color="795548"/>
              <w:left w:val="single" w:sz="1" w:space="0" w:color="795548"/>
              <w:bottom w:val="single" w:sz="1" w:space="0" w:color="795548"/>
              <w:right w:val="single" w:sz="1" w:space="0" w:color="795548"/>
            </w:tcBorders>
            <w:shd w:val="clear" w:color="auto" w:fill="FFFFFF"/>
            <w:tcMar>
              <w:top w:w="50" w:type="dxa"/>
              <w:left w:w="80" w:type="dxa"/>
              <w:bottom w:w="50" w:type="dxa"/>
              <w:right w:w="80" w:type="dxa"/>
            </w:tcMar>
          </w:tcPr>
          <w:p w14:paraId="6C376154" w14:textId="77777777" w:rsidR="0030440B" w:rsidRDefault="00605F6E">
            <w:r>
              <w:rPr>
                <w:sz w:val="20"/>
                <w:szCs w:val="20"/>
              </w:rPr>
              <w:t>SOFR 연동</w:t>
            </w:r>
          </w:p>
        </w:tc>
        <w:tc>
          <w:tcPr>
            <w:tcW w:w="2334" w:type="dxa"/>
            <w:tcBorders>
              <w:top w:val="single" w:sz="1" w:space="0" w:color="795548"/>
              <w:left w:val="single" w:sz="1" w:space="0" w:color="795548"/>
              <w:bottom w:val="single" w:sz="1" w:space="0" w:color="795548"/>
              <w:right w:val="single" w:sz="1" w:space="0" w:color="795548"/>
            </w:tcBorders>
            <w:shd w:val="clear" w:color="auto" w:fill="FFFFFF"/>
            <w:tcMar>
              <w:top w:w="50" w:type="dxa"/>
              <w:left w:w="80" w:type="dxa"/>
              <w:bottom w:w="50" w:type="dxa"/>
              <w:right w:w="80" w:type="dxa"/>
            </w:tcMar>
          </w:tcPr>
          <w:p w14:paraId="6C376155" w14:textId="77777777" w:rsidR="0030440B" w:rsidRDefault="00605F6E">
            <w:r>
              <w:rPr>
                <w:b/>
                <w:bCs/>
                <w:sz w:val="20"/>
                <w:szCs w:val="20"/>
              </w:rPr>
              <w:t>KOFR+CIR 모형</w:t>
            </w:r>
          </w:p>
        </w:tc>
      </w:tr>
      <w:tr w:rsidR="0030440B" w14:paraId="6C37615B" w14:textId="77777777">
        <w:tc>
          <w:tcPr>
            <w:tcW w:w="2000" w:type="dxa"/>
            <w:tcBorders>
              <w:top w:val="single" w:sz="1" w:space="0" w:color="795548"/>
              <w:left w:val="single" w:sz="1" w:space="0" w:color="795548"/>
              <w:bottom w:val="single" w:sz="1" w:space="0" w:color="795548"/>
              <w:right w:val="single" w:sz="1" w:space="0" w:color="795548"/>
            </w:tcBorders>
            <w:shd w:val="clear" w:color="auto" w:fill="EFEBE9"/>
            <w:tcMar>
              <w:top w:w="50" w:type="dxa"/>
              <w:left w:w="80" w:type="dxa"/>
              <w:bottom w:w="50" w:type="dxa"/>
              <w:right w:w="80" w:type="dxa"/>
            </w:tcMar>
          </w:tcPr>
          <w:p w14:paraId="6C376157" w14:textId="77777777" w:rsidR="0030440B" w:rsidRDefault="00605F6E">
            <w:r>
              <w:rPr>
                <w:b/>
                <w:bCs/>
                <w:sz w:val="20"/>
                <w:szCs w:val="20"/>
              </w:rPr>
              <w:t>규제 노드</w:t>
            </w:r>
          </w:p>
        </w:tc>
        <w:tc>
          <w:tcPr>
            <w:tcW w:w="2333" w:type="dxa"/>
            <w:tcBorders>
              <w:top w:val="single" w:sz="1" w:space="0" w:color="795548"/>
              <w:left w:val="single" w:sz="1" w:space="0" w:color="795548"/>
              <w:bottom w:val="single" w:sz="1" w:space="0" w:color="795548"/>
              <w:right w:val="single" w:sz="1" w:space="0" w:color="795548"/>
            </w:tcBorders>
            <w:shd w:val="clear" w:color="auto" w:fill="EFEBE9"/>
            <w:tcMar>
              <w:top w:w="50" w:type="dxa"/>
              <w:left w:w="80" w:type="dxa"/>
              <w:bottom w:w="50" w:type="dxa"/>
              <w:right w:w="80" w:type="dxa"/>
            </w:tcMar>
          </w:tcPr>
          <w:p w14:paraId="6C376158" w14:textId="77777777" w:rsidR="0030440B" w:rsidRDefault="00605F6E">
            <w:r>
              <w:rPr>
                <w:sz w:val="20"/>
                <w:szCs w:val="20"/>
              </w:rPr>
              <w:t>없음</w:t>
            </w:r>
          </w:p>
        </w:tc>
        <w:tc>
          <w:tcPr>
            <w:tcW w:w="2333" w:type="dxa"/>
            <w:tcBorders>
              <w:top w:val="single" w:sz="1" w:space="0" w:color="795548"/>
              <w:left w:val="single" w:sz="1" w:space="0" w:color="795548"/>
              <w:bottom w:val="single" w:sz="1" w:space="0" w:color="795548"/>
              <w:right w:val="single" w:sz="1" w:space="0" w:color="795548"/>
            </w:tcBorders>
            <w:shd w:val="clear" w:color="auto" w:fill="EFEBE9"/>
            <w:tcMar>
              <w:top w:w="50" w:type="dxa"/>
              <w:left w:w="80" w:type="dxa"/>
              <w:bottom w:w="50" w:type="dxa"/>
              <w:right w:w="80" w:type="dxa"/>
            </w:tcMar>
          </w:tcPr>
          <w:p w14:paraId="6C376159" w14:textId="77777777" w:rsidR="0030440B" w:rsidRDefault="00605F6E">
            <w:r>
              <w:rPr>
                <w:sz w:val="20"/>
                <w:szCs w:val="20"/>
              </w:rPr>
              <w:t>없음</w:t>
            </w:r>
          </w:p>
        </w:tc>
        <w:tc>
          <w:tcPr>
            <w:tcW w:w="2334" w:type="dxa"/>
            <w:tcBorders>
              <w:top w:val="single" w:sz="1" w:space="0" w:color="795548"/>
              <w:left w:val="single" w:sz="1" w:space="0" w:color="795548"/>
              <w:bottom w:val="single" w:sz="1" w:space="0" w:color="795548"/>
              <w:right w:val="single" w:sz="1" w:space="0" w:color="795548"/>
            </w:tcBorders>
            <w:shd w:val="clear" w:color="auto" w:fill="EFEBE9"/>
            <w:tcMar>
              <w:top w:w="50" w:type="dxa"/>
              <w:left w:w="80" w:type="dxa"/>
              <w:bottom w:w="50" w:type="dxa"/>
              <w:right w:w="80" w:type="dxa"/>
            </w:tcMar>
          </w:tcPr>
          <w:p w14:paraId="6C37615A" w14:textId="77777777" w:rsidR="0030440B" w:rsidRDefault="00605F6E">
            <w:r>
              <w:rPr>
                <w:b/>
                <w:bCs/>
                <w:sz w:val="20"/>
                <w:szCs w:val="20"/>
              </w:rPr>
              <w:t>FSS 감독 노드</w:t>
            </w:r>
          </w:p>
        </w:tc>
      </w:tr>
      <w:tr w:rsidR="0030440B" w14:paraId="6C376160" w14:textId="77777777">
        <w:tc>
          <w:tcPr>
            <w:tcW w:w="2000" w:type="dxa"/>
            <w:tcBorders>
              <w:top w:val="single" w:sz="1" w:space="0" w:color="795548"/>
              <w:left w:val="single" w:sz="1" w:space="0" w:color="795548"/>
              <w:bottom w:val="single" w:sz="1" w:space="0" w:color="795548"/>
              <w:right w:val="single" w:sz="1" w:space="0" w:color="795548"/>
            </w:tcBorders>
            <w:shd w:val="clear" w:color="auto" w:fill="FFFFFF"/>
            <w:tcMar>
              <w:top w:w="50" w:type="dxa"/>
              <w:left w:w="80" w:type="dxa"/>
              <w:bottom w:w="50" w:type="dxa"/>
              <w:right w:w="80" w:type="dxa"/>
            </w:tcMar>
          </w:tcPr>
          <w:p w14:paraId="6C37615C" w14:textId="77777777" w:rsidR="0030440B" w:rsidRDefault="00605F6E">
            <w:r>
              <w:rPr>
                <w:b/>
                <w:bCs/>
                <w:sz w:val="20"/>
                <w:szCs w:val="20"/>
              </w:rPr>
              <w:t>편익 정량화</w:t>
            </w:r>
          </w:p>
        </w:tc>
        <w:tc>
          <w:tcPr>
            <w:tcW w:w="2333" w:type="dxa"/>
            <w:tcBorders>
              <w:top w:val="single" w:sz="1" w:space="0" w:color="795548"/>
              <w:left w:val="single" w:sz="1" w:space="0" w:color="795548"/>
              <w:bottom w:val="single" w:sz="1" w:space="0" w:color="795548"/>
              <w:right w:val="single" w:sz="1" w:space="0" w:color="795548"/>
            </w:tcBorders>
            <w:shd w:val="clear" w:color="auto" w:fill="FFFFFF"/>
            <w:tcMar>
              <w:top w:w="50" w:type="dxa"/>
              <w:left w:w="80" w:type="dxa"/>
              <w:bottom w:w="50" w:type="dxa"/>
              <w:right w:w="80" w:type="dxa"/>
            </w:tcMar>
          </w:tcPr>
          <w:p w14:paraId="6C37615D" w14:textId="77777777" w:rsidR="0030440B" w:rsidRDefault="00605F6E">
            <w:proofErr w:type="spellStart"/>
            <w:r>
              <w:rPr>
                <w:sz w:val="20"/>
                <w:szCs w:val="20"/>
              </w:rPr>
              <w:t>미제시</w:t>
            </w:r>
            <w:proofErr w:type="spellEnd"/>
          </w:p>
        </w:tc>
        <w:tc>
          <w:tcPr>
            <w:tcW w:w="2333" w:type="dxa"/>
            <w:tcBorders>
              <w:top w:val="single" w:sz="1" w:space="0" w:color="795548"/>
              <w:left w:val="single" w:sz="1" w:space="0" w:color="795548"/>
              <w:bottom w:val="single" w:sz="1" w:space="0" w:color="795548"/>
              <w:right w:val="single" w:sz="1" w:space="0" w:color="795548"/>
            </w:tcBorders>
            <w:shd w:val="clear" w:color="auto" w:fill="FFFFFF"/>
            <w:tcMar>
              <w:top w:w="50" w:type="dxa"/>
              <w:left w:w="80" w:type="dxa"/>
              <w:bottom w:w="50" w:type="dxa"/>
              <w:right w:w="80" w:type="dxa"/>
            </w:tcMar>
          </w:tcPr>
          <w:p w14:paraId="6C37615E" w14:textId="77777777" w:rsidR="0030440B" w:rsidRDefault="00605F6E">
            <w:r>
              <w:rPr>
                <w:sz w:val="20"/>
                <w:szCs w:val="20"/>
              </w:rPr>
              <w:t>미제시</w:t>
            </w:r>
          </w:p>
        </w:tc>
        <w:tc>
          <w:tcPr>
            <w:tcW w:w="2334" w:type="dxa"/>
            <w:tcBorders>
              <w:top w:val="single" w:sz="1" w:space="0" w:color="795548"/>
              <w:left w:val="single" w:sz="1" w:space="0" w:color="795548"/>
              <w:bottom w:val="single" w:sz="1" w:space="0" w:color="795548"/>
              <w:right w:val="single" w:sz="1" w:space="0" w:color="795548"/>
            </w:tcBorders>
            <w:shd w:val="clear" w:color="auto" w:fill="FFFFFF"/>
            <w:tcMar>
              <w:top w:w="50" w:type="dxa"/>
              <w:left w:w="80" w:type="dxa"/>
              <w:bottom w:w="50" w:type="dxa"/>
              <w:right w:w="80" w:type="dxa"/>
            </w:tcMar>
          </w:tcPr>
          <w:p w14:paraId="6C37615F" w14:textId="77777777" w:rsidR="0030440B" w:rsidRDefault="00605F6E">
            <w:r>
              <w:rPr>
                <w:b/>
                <w:bCs/>
                <w:sz w:val="20"/>
                <w:szCs w:val="20"/>
              </w:rPr>
              <w:t>TEB+MC 시뮬레이션</w:t>
            </w:r>
          </w:p>
        </w:tc>
      </w:tr>
    </w:tbl>
    <w:p w14:paraId="6C376161" w14:textId="77777777" w:rsidR="0030440B" w:rsidRDefault="0030440B"/>
    <w:p w14:paraId="3823686F" w14:textId="157CCE17" w:rsidR="00A42E45" w:rsidRPr="00A42E45" w:rsidRDefault="00A42E45" w:rsidP="00A42E45">
      <w:pPr>
        <w:spacing w:before="200" w:after="80"/>
        <w:jc w:val="center"/>
        <w:rPr>
          <w:b/>
          <w:bCs/>
        </w:rPr>
      </w:pPr>
      <w:bookmarkStart w:id="33" w:name="_Toc223089368"/>
      <w:r w:rsidRPr="00A42E45">
        <w:rPr>
          <w:b/>
          <w:bCs/>
          <w:sz w:val="20"/>
          <w:szCs w:val="20"/>
        </w:rPr>
        <w:t xml:space="preserve">표 </w:t>
      </w:r>
      <w:r w:rsidRPr="00A42E45">
        <w:rPr>
          <w:rFonts w:hint="eastAsia"/>
          <w:b/>
          <w:bCs/>
          <w:sz w:val="20"/>
          <w:szCs w:val="20"/>
        </w:rPr>
        <w:t>3</w:t>
      </w:r>
      <w:r w:rsidRPr="00A42E45">
        <w:rPr>
          <w:b/>
          <w:bCs/>
          <w:sz w:val="20"/>
          <w:szCs w:val="20"/>
        </w:rPr>
        <w:t xml:space="preserve">. </w:t>
      </w:r>
      <w:r w:rsidRPr="00A42E45">
        <w:rPr>
          <w:sz w:val="20"/>
          <w:szCs w:val="20"/>
        </w:rPr>
        <w:t xml:space="preserve">글로벌 </w:t>
      </w:r>
      <w:proofErr w:type="spellStart"/>
      <w:r w:rsidRPr="00A42E45">
        <w:rPr>
          <w:sz w:val="20"/>
          <w:szCs w:val="20"/>
        </w:rPr>
        <w:t>레포</w:t>
      </w:r>
      <w:proofErr w:type="spellEnd"/>
      <w:r w:rsidRPr="00A42E45">
        <w:rPr>
          <w:sz w:val="20"/>
          <w:szCs w:val="20"/>
        </w:rPr>
        <w:t xml:space="preserve"> 플랫폼 </w:t>
      </w:r>
      <w:proofErr w:type="spellStart"/>
      <w:r w:rsidRPr="00A42E45">
        <w:rPr>
          <w:sz w:val="20"/>
          <w:szCs w:val="20"/>
        </w:rPr>
        <w:t>차별점</w:t>
      </w:r>
      <w:proofErr w:type="spellEnd"/>
      <w:r w:rsidRPr="00A42E45">
        <w:rPr>
          <w:sz w:val="20"/>
          <w:szCs w:val="20"/>
        </w:rPr>
        <w:t xml:space="preserve"> 비교</w:t>
      </w:r>
    </w:p>
    <w:p w14:paraId="3BB7E14A" w14:textId="77777777" w:rsidR="00710341" w:rsidRPr="00A42E45" w:rsidRDefault="00710341" w:rsidP="00710341"/>
    <w:p w14:paraId="6C376163" w14:textId="7C1B3B1E" w:rsidR="0030440B" w:rsidRDefault="00605F6E" w:rsidP="00710341">
      <w:r>
        <w:rPr>
          <w:b/>
          <w:bCs/>
          <w:sz w:val="28"/>
          <w:szCs w:val="28"/>
        </w:rPr>
        <w:t>5. 연구결과: 온체인 레포 기대효과 정량 분석</w:t>
      </w:r>
      <w:bookmarkEnd w:id="33"/>
    </w:p>
    <w:p w14:paraId="6C376164" w14:textId="77777777" w:rsidR="0030440B" w:rsidRDefault="00605F6E">
      <w:pPr>
        <w:pStyle w:val="2"/>
      </w:pPr>
      <w:bookmarkStart w:id="34" w:name="_Toc223089369"/>
      <w:r>
        <w:t>5.1 KOFR 데이터 분석 및 시장 특성</w:t>
      </w:r>
      <w:bookmarkEnd w:id="34"/>
    </w:p>
    <w:p w14:paraId="6C376165" w14:textId="77777777" w:rsidR="0030440B" w:rsidRDefault="00605F6E">
      <w:pPr>
        <w:jc w:val="both"/>
      </w:pPr>
      <w:r>
        <w:t>본 절에서는 온체인 레포 설계의 기초가 되는 KOFR 데이터의 통계적 특성을 분석한다.</w:t>
      </w:r>
    </w:p>
    <w:p w14:paraId="6C376166" w14:textId="77777777" w:rsidR="0030440B" w:rsidRDefault="0030440B"/>
    <w:p w14:paraId="6C376167" w14:textId="77777777" w:rsidR="0030440B" w:rsidRDefault="00605F6E">
      <w:pPr>
        <w:spacing w:before="120" w:after="60"/>
        <w:jc w:val="center"/>
      </w:pPr>
      <w:r>
        <w:rPr>
          <w:noProof/>
        </w:rPr>
        <w:drawing>
          <wp:inline distT="0" distB="0" distL="0" distR="0" wp14:anchorId="6C376283" wp14:editId="6C376284">
            <wp:extent cx="4572000" cy="2286000"/>
            <wp:effectExtent l="0" t="0" r="0" b="0"/>
            <wp:docPr id="1647668224" name="fig01_kofr_timeseries.png" descr="fig01_kofr_timeseries.png" title="fig01_kofr_times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286000"/>
                    </a:xfrm>
                    <a:prstGeom prst="rect">
                      <a:avLst/>
                    </a:prstGeom>
                  </pic:spPr>
                </pic:pic>
              </a:graphicData>
            </a:graphic>
          </wp:inline>
        </w:drawing>
      </w:r>
    </w:p>
    <w:p w14:paraId="6C376168" w14:textId="09DE3497" w:rsidR="0030440B" w:rsidRDefault="00605F6E">
      <w:pPr>
        <w:spacing w:before="80" w:after="200"/>
        <w:jc w:val="center"/>
      </w:pPr>
      <w:r w:rsidRPr="00A42E45">
        <w:rPr>
          <w:b/>
          <w:bCs/>
          <w:sz w:val="20"/>
          <w:szCs w:val="20"/>
        </w:rPr>
        <w:t xml:space="preserve">그림 </w:t>
      </w:r>
      <w:r w:rsidR="00A42E45" w:rsidRPr="00A42E45">
        <w:rPr>
          <w:rFonts w:hint="eastAsia"/>
          <w:b/>
          <w:bCs/>
          <w:sz w:val="20"/>
          <w:szCs w:val="20"/>
        </w:rPr>
        <w:t>4</w:t>
      </w:r>
      <w:r>
        <w:rPr>
          <w:i/>
          <w:iCs/>
          <w:sz w:val="20"/>
          <w:szCs w:val="20"/>
        </w:rPr>
        <w:t xml:space="preserve">. </w:t>
      </w:r>
      <w:r w:rsidRPr="00A42E45">
        <w:rPr>
          <w:sz w:val="20"/>
          <w:szCs w:val="20"/>
        </w:rPr>
        <w:t>KOFR(한국무위험지표금리) 일별 추이 (2021.11~2026.02)</w:t>
      </w:r>
    </w:p>
    <w:p w14:paraId="6C376169" w14:textId="77777777" w:rsidR="0030440B" w:rsidRDefault="0030440B"/>
    <w:p w14:paraId="6C37616A" w14:textId="73027A32" w:rsidR="0030440B" w:rsidRDefault="00605F6E">
      <w:pPr>
        <w:jc w:val="both"/>
      </w:pPr>
      <w:r>
        <w:t xml:space="preserve">2021년 11월부터 2026년 2월까지의 KOFR 시계열은 다음과 같은 특성을 보인다: (1) 평균 2.37%, 표준편차 1.42% (2) 최고 5.18% (2023년 7월 기준금리 인상기), </w:t>
      </w:r>
      <w:r>
        <w:lastRenderedPageBreak/>
        <w:t>최저 0.22% (2023년 초)(</w:t>
      </w:r>
      <w:r w:rsidR="009F1B87">
        <w:rPr>
          <w:rFonts w:hint="eastAsia"/>
        </w:rPr>
        <w:t>3</w:t>
      </w:r>
      <w:r>
        <w:t>) 거시경제 충격에 민감하나 일중 변동성은 상대적으로 낮음(일평균 0~3%)</w:t>
      </w:r>
    </w:p>
    <w:p w14:paraId="6C37616E" w14:textId="77777777" w:rsidR="0030440B" w:rsidRDefault="0030440B"/>
    <w:p w14:paraId="6C376170" w14:textId="77777777" w:rsidR="0030440B" w:rsidRDefault="00605F6E">
      <w:pPr>
        <w:pStyle w:val="2"/>
      </w:pPr>
      <w:bookmarkStart w:id="35" w:name="_Toc223089370"/>
      <w:r>
        <w:t xml:space="preserve">5.2 결제 리스크 감소 — </w:t>
      </w:r>
      <w:proofErr w:type="spellStart"/>
      <w:r>
        <w:t>VaR</w:t>
      </w:r>
      <w:proofErr w:type="spellEnd"/>
      <w:r>
        <w:t xml:space="preserve"> 분석</w:t>
      </w:r>
      <w:bookmarkEnd w:id="35"/>
    </w:p>
    <w:p w14:paraId="6C376171" w14:textId="77777777" w:rsidR="0030440B" w:rsidRDefault="00605F6E">
      <w:pPr>
        <w:jc w:val="both"/>
      </w:pPr>
      <w:r>
        <w:t>결제 시간 단축에 따른 Potential Exposure(PE) 감소 효과를 분석하였다. T+1(24시간)에서 T+0(10분)까지 결제 시간을 단축할 경우, PE는 최대 91.7% 감소한다.</w:t>
      </w:r>
    </w:p>
    <w:p w14:paraId="13DC10F8" w14:textId="514BD179" w:rsidR="00A83BF0" w:rsidRDefault="00605F6E">
      <w:pPr>
        <w:jc w:val="both"/>
        <w:rPr>
          <w:rFonts w:hint="eastAsia"/>
        </w:rPr>
      </w:pPr>
      <w:r>
        <w:t>이 리스크 감소는 금융 안정성 측면에서 매우 중요하다. Basel III 규제 기준, Potential Exposure는 신용 위험도 가중치 산출의 핵심 입력변수이다. PE가 12배 감소한다는 것은 동일한 거래에 대해 규제 자본(regulatory capital) 요구액이 약 12배 감소할 수 있다는 의미이다.</w:t>
      </w:r>
    </w:p>
    <w:p w14:paraId="65725702" w14:textId="6E80D98A" w:rsidR="00A83BF0" w:rsidRDefault="00A83BF0" w:rsidP="00A83BF0">
      <w:pPr>
        <w:jc w:val="center"/>
      </w:pPr>
      <w:r>
        <w:rPr>
          <w:noProof/>
        </w:rPr>
        <w:drawing>
          <wp:inline distT="0" distB="0" distL="0" distR="0" wp14:anchorId="60267FF6" wp14:editId="4007F1E2">
            <wp:extent cx="4286250" cy="2762250"/>
            <wp:effectExtent l="0" t="0" r="0" b="0"/>
            <wp:docPr id="238375047" name="fig03_var_settlement.png" descr="fig03_var_settlement.png" title="fig03_var_settl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86250" cy="2762250"/>
                    </a:xfrm>
                    <a:prstGeom prst="rect">
                      <a:avLst/>
                    </a:prstGeom>
                  </pic:spPr>
                </pic:pic>
              </a:graphicData>
            </a:graphic>
          </wp:inline>
        </w:drawing>
      </w:r>
    </w:p>
    <w:p w14:paraId="73F23505" w14:textId="77777777" w:rsidR="00A83BF0" w:rsidRDefault="00A83BF0" w:rsidP="00A83BF0">
      <w:pPr>
        <w:spacing w:before="80" w:after="200"/>
        <w:jc w:val="center"/>
      </w:pPr>
      <w:r w:rsidRPr="00A42E45">
        <w:rPr>
          <w:b/>
          <w:bCs/>
          <w:sz w:val="20"/>
          <w:szCs w:val="20"/>
        </w:rPr>
        <w:t>그림 5</w:t>
      </w:r>
      <w:r>
        <w:rPr>
          <w:i/>
          <w:iCs/>
          <w:sz w:val="20"/>
          <w:szCs w:val="20"/>
        </w:rPr>
        <w:t xml:space="preserve">. </w:t>
      </w:r>
      <w:r w:rsidRPr="00A42E45">
        <w:rPr>
          <w:sz w:val="20"/>
          <w:szCs w:val="20"/>
        </w:rPr>
        <w:t>결제 시간 단축에 따른 Potential Exposure 감소 효과</w:t>
      </w:r>
    </w:p>
    <w:p w14:paraId="552DBCAD" w14:textId="77777777" w:rsidR="002A47FE" w:rsidRDefault="002A47FE">
      <w:pPr>
        <w:jc w:val="both"/>
      </w:pPr>
    </w:p>
    <w:p w14:paraId="6C376192" w14:textId="77777777" w:rsidR="0030440B" w:rsidRDefault="00605F6E">
      <w:pPr>
        <w:pStyle w:val="2"/>
      </w:pPr>
      <w:bookmarkStart w:id="36" w:name="_Toc223089371"/>
      <w:r>
        <w:t>5.3 헤어컷 최적화에 따른 담보 해방 효과</w:t>
      </w:r>
      <w:bookmarkEnd w:id="36"/>
    </w:p>
    <w:p w14:paraId="6C3761AD" w14:textId="7CE04327" w:rsidR="0030440B" w:rsidRDefault="00605F6E" w:rsidP="002A47FE">
      <w:pPr>
        <w:jc w:val="both"/>
      </w:pPr>
      <w:r>
        <w:t xml:space="preserve">온체인 레포의 일중 결제는 담보의 장중 변동성만 반영하므로, 전통 T+1 대비 헤어컷을 대폭 축소할 수 있다. Basel III CRE22 기준과 KSD 2025년 4분기 담보 비중 데이터를 적용한 결과, 가중평균 T+1 </w:t>
      </w:r>
      <w:proofErr w:type="spellStart"/>
      <w:r>
        <w:t>헤어컷</w:t>
      </w:r>
      <w:proofErr w:type="spellEnd"/>
      <w:r>
        <w:t xml:space="preserve"> 4.40%에서 T+0 </w:t>
      </w:r>
      <w:proofErr w:type="spellStart"/>
      <w:r>
        <w:t>헤어컷</w:t>
      </w:r>
      <w:proofErr w:type="spellEnd"/>
      <w:r>
        <w:t xml:space="preserve"> </w:t>
      </w:r>
      <w:r w:rsidR="001204D9">
        <w:rPr>
          <w:rFonts w:hint="eastAsia"/>
        </w:rPr>
        <w:t>2.98%</w:t>
      </w:r>
      <w:r>
        <w:t xml:space="preserve">로 약 </w:t>
      </w:r>
      <w:r w:rsidR="001204D9">
        <w:rPr>
          <w:rFonts w:hint="eastAsia"/>
        </w:rPr>
        <w:t>32.3</w:t>
      </w:r>
      <w:r>
        <w:t xml:space="preserve">% 축소가 가능한 것으로 추정되었다(ΔH = </w:t>
      </w:r>
      <w:r w:rsidR="001204D9">
        <w:rPr>
          <w:rFonts w:hint="eastAsia"/>
        </w:rPr>
        <w:t>1.42</w:t>
      </w:r>
      <w:r>
        <w:t>%p).</w:t>
      </w:r>
    </w:p>
    <w:p w14:paraId="6C3761AE" w14:textId="25B0B8B5" w:rsidR="0030440B" w:rsidRDefault="00605F6E" w:rsidP="002A47FE">
      <w:pPr>
        <w:ind w:firstLineChars="100" w:firstLine="240"/>
        <w:jc w:val="both"/>
      </w:pPr>
      <w:proofErr w:type="spellStart"/>
      <w:r>
        <w:t>헤어컷</w:t>
      </w:r>
      <w:proofErr w:type="spellEnd"/>
      <w:r>
        <w:t xml:space="preserve"> 축소의 경제적 함의: 예를 들어, 전체 </w:t>
      </w:r>
      <w:proofErr w:type="spellStart"/>
      <w:r>
        <w:t>레포</w:t>
      </w:r>
      <w:proofErr w:type="spellEnd"/>
      <w:r>
        <w:t xml:space="preserve"> 시장 일평균 잔액 209조 원</w:t>
      </w:r>
      <w:r>
        <w:lastRenderedPageBreak/>
        <w:t xml:space="preserve">에서 가중평균 </w:t>
      </w:r>
      <w:proofErr w:type="spellStart"/>
      <w:r>
        <w:t>헤어컷</w:t>
      </w:r>
      <w:proofErr w:type="spellEnd"/>
      <w:r>
        <w:t xml:space="preserve"> 차이(ΔH=</w:t>
      </w:r>
      <w:r w:rsidR="001204D9">
        <w:rPr>
          <w:rFonts w:hint="eastAsia"/>
        </w:rPr>
        <w:t xml:space="preserve"> 1.42</w:t>
      </w:r>
      <w:r w:rsidR="001204D9">
        <w:t>%p</w:t>
      </w:r>
      <w:r>
        <w:t xml:space="preserve">)를 적용하면, 약 </w:t>
      </w:r>
      <w:r w:rsidR="001204D9">
        <w:rPr>
          <w:rFonts w:hint="eastAsia"/>
        </w:rPr>
        <w:t>3</w:t>
      </w:r>
      <w:r>
        <w:t>조 원 규모의 담보 해방 효과가 발생한다. 이는 금융기관의 담보 운용 효율성을 크게 향상시키는 구조적 개선이다. KSD 담보 구성(국채 53.85%, 금융채 27.85%, 특수채 10.04%, 회사채 2.81%)을 반영한 Basel III CRE22 기반 분석이므로, 국제 정합성과 실무 적용 가능성이 높다.</w:t>
      </w:r>
    </w:p>
    <w:p w14:paraId="0E64E93E" w14:textId="77777777" w:rsidR="002A47FE" w:rsidRDefault="002A47FE" w:rsidP="002A47FE">
      <w:pPr>
        <w:ind w:firstLineChars="100" w:firstLine="240"/>
        <w:jc w:val="both"/>
      </w:pPr>
    </w:p>
    <w:p w14:paraId="6C3761AF" w14:textId="77777777" w:rsidR="0030440B" w:rsidRDefault="00605F6E">
      <w:pPr>
        <w:pStyle w:val="2"/>
      </w:pPr>
      <w:bookmarkStart w:id="37" w:name="_Toc223089372"/>
      <w:r>
        <w:t>5.4 일중 유동성 버퍼 기회비용 절감</w:t>
      </w:r>
      <w:bookmarkEnd w:id="37"/>
    </w:p>
    <w:p w14:paraId="4649A5D3" w14:textId="6EFE042E" w:rsidR="00B06EFF" w:rsidRDefault="00605F6E" w:rsidP="002A47FE">
      <w:pPr>
        <w:ind w:firstLineChars="100" w:firstLine="240"/>
        <w:jc w:val="both"/>
      </w:pPr>
      <w:r>
        <w:t>Broadridge(2025)의 'Return on Innovation' 보고서에서 강조하듯, 일중 레포는 유동성 버퍼를 축소하여 담보를 해방시키는 효과를 가진다</w:t>
      </w:r>
      <w:r>
        <w:rPr>
          <w:rStyle w:val="a6"/>
        </w:rPr>
        <w:footnoteReference w:id="27"/>
      </w:r>
      <w:r>
        <w:t>. 본 연구의 추정에 따르면, B(total)=81.9조 원(818,669억 원), α=</w:t>
      </w:r>
      <w:r w:rsidR="001204D9">
        <w:rPr>
          <w:rFonts w:hint="eastAsia"/>
        </w:rPr>
        <w:t>32.3</w:t>
      </w:r>
      <w:r>
        <w:t>%</w:t>
      </w:r>
      <w:r w:rsidR="0075011E">
        <w:rPr>
          <w:rFonts w:hint="eastAsia"/>
        </w:rPr>
        <w:t>(</w:t>
      </w:r>
      <w:proofErr w:type="spellStart"/>
      <w:r w:rsidR="0075011E">
        <w:rPr>
          <w:rFonts w:hint="eastAsia"/>
        </w:rPr>
        <w:t>헤어컷</w:t>
      </w:r>
      <w:proofErr w:type="spellEnd"/>
      <w:r w:rsidR="0075011E">
        <w:rPr>
          <w:rFonts w:hint="eastAsia"/>
        </w:rPr>
        <w:t xml:space="preserve"> 계산하고 동일한 값 반영)</w:t>
      </w:r>
      <w:r>
        <w:t>, r(</w:t>
      </w:r>
      <w:proofErr w:type="spellStart"/>
      <w:r>
        <w:t>kofr</w:t>
      </w:r>
      <w:proofErr w:type="spellEnd"/>
      <w:r>
        <w:t xml:space="preserve">)=2.56% 가정 시 연간 약 </w:t>
      </w:r>
      <w:r w:rsidR="001204D9">
        <w:rPr>
          <w:rFonts w:hint="eastAsia"/>
        </w:rPr>
        <w:t>6800</w:t>
      </w:r>
      <w:r>
        <w:t>억 원(중앙값)의 버퍼 기회비용 절감이 가능하다. B(total)은 국내 18개 은행의 LCR 공시 데이터(2024년)에서 추출한 초과 HQLA 합계이며, α=50%는 초과 HQLA 중 레포 담보로 전환 가능한 비율, r(kofr)은 2026년 2월 기준 KOFR 금리이다.</w:t>
      </w:r>
    </w:p>
    <w:p w14:paraId="6C3761B2" w14:textId="3C0E8BB7" w:rsidR="0030440B" w:rsidRDefault="00605F6E" w:rsidP="002A47FE">
      <w:pPr>
        <w:ind w:firstLineChars="100" w:firstLine="240"/>
        <w:jc w:val="both"/>
      </w:pPr>
      <w:r>
        <w:t xml:space="preserve">바젤 III LCR 규제상, 금융기관은 30일간의 순 현금 유출을 충당할 HQLA를 보유해야 한다. 결제 리스크가 감소하면, 규제당국이 요구하는 버퍼 규모를 줄일 수 있으며, 이는 기관들의 자본 효율성을 크게 향상시킨다. </w:t>
      </w:r>
    </w:p>
    <w:p w14:paraId="303A155C" w14:textId="77777777" w:rsidR="002A47FE" w:rsidRDefault="002A47FE">
      <w:pPr>
        <w:jc w:val="both"/>
      </w:pPr>
    </w:p>
    <w:p w14:paraId="6C3761B3" w14:textId="77777777" w:rsidR="0030440B" w:rsidRDefault="00605F6E">
      <w:pPr>
        <w:pStyle w:val="2"/>
      </w:pPr>
      <w:bookmarkStart w:id="38" w:name="_Toc223089373"/>
      <w:r>
        <w:t>5.5 총 경제적 편익(TEB) 모델 결과</w:t>
      </w:r>
      <w:bookmarkEnd w:id="38"/>
    </w:p>
    <w:p w14:paraId="6C3761B5" w14:textId="00866584" w:rsidR="0030440B" w:rsidRDefault="00605F6E" w:rsidP="002A47FE">
      <w:pPr>
        <w:ind w:firstLineChars="100" w:firstLine="240"/>
        <w:jc w:val="both"/>
      </w:pPr>
      <w:r>
        <w:t>3개 채널의 합산 TEB를 분석한 결과는 다음과 같</w:t>
      </w:r>
      <w:r w:rsidR="002A47FE">
        <w:rPr>
          <w:rFonts w:hint="eastAsia"/>
        </w:rPr>
        <w:t>다.</w:t>
      </w:r>
      <w:r w:rsidR="00D44227" w:rsidRPr="00D44227">
        <w:t xml:space="preserve"> TEB 모델의 3개 편익 채널을 합산한 결과, 결정론적 기준 총 경제적 편익(TEB)은 연간 27,306억 원(약 2.73조 원)으로 산출된다. 채널별로는 유동성 조기 회수(</w:t>
      </w:r>
      <w:proofErr w:type="spellStart"/>
      <w:r w:rsidR="00D44227" w:rsidRPr="00D44227">
        <w:t>Π_liq</w:t>
      </w:r>
      <w:proofErr w:type="spellEnd"/>
      <w:r w:rsidR="00D44227" w:rsidRPr="00D44227">
        <w:t>) 20,009억 원(73.3%), LCR 버퍼 기회비용 절감(</w:t>
      </w:r>
      <w:proofErr w:type="spellStart"/>
      <w:r w:rsidR="00D44227" w:rsidRPr="00D44227">
        <w:t>Π_buf</w:t>
      </w:r>
      <w:proofErr w:type="spellEnd"/>
      <w:r w:rsidR="00D44227" w:rsidRPr="00D44227">
        <w:t xml:space="preserve">) 6,772억 원(24.8%), </w:t>
      </w:r>
      <w:proofErr w:type="spellStart"/>
      <w:r w:rsidR="00D44227" w:rsidRPr="00D44227">
        <w:t>헤어컷</w:t>
      </w:r>
      <w:proofErr w:type="spellEnd"/>
      <w:r w:rsidR="00D44227" w:rsidRPr="00D44227">
        <w:t xml:space="preserve"> 최적화(</w:t>
      </w:r>
      <w:proofErr w:type="spellStart"/>
      <w:r w:rsidR="00D44227" w:rsidRPr="00D44227">
        <w:t>Π_hair</w:t>
      </w:r>
      <w:proofErr w:type="spellEnd"/>
      <w:r w:rsidR="00D44227" w:rsidRPr="00D44227">
        <w:t>) 524억 원(1.9%)의 순으로, 유동성 조기 회수 효과가 전체 편익의 대부분을 구성한다</w:t>
      </w:r>
      <w:r w:rsidR="00D44227">
        <w:rPr>
          <w:rFonts w:hint="eastAsia"/>
        </w:rPr>
        <w:t>.</w:t>
      </w:r>
    </w:p>
    <w:p w14:paraId="420C2E9F" w14:textId="5BC43C8B" w:rsidR="00D44227" w:rsidRDefault="00A83BF0" w:rsidP="00A42E45">
      <w:pPr>
        <w:ind w:firstLineChars="100" w:firstLine="240"/>
        <w:jc w:val="center"/>
      </w:pPr>
      <w:r>
        <w:rPr>
          <w:noProof/>
        </w:rPr>
        <w:lastRenderedPageBreak/>
        <w:drawing>
          <wp:inline distT="0" distB="0" distL="0" distR="0" wp14:anchorId="125374A5" wp14:editId="5A835174">
            <wp:extent cx="4420235" cy="2765872"/>
            <wp:effectExtent l="0" t="0" r="0" b="0"/>
            <wp:docPr id="71048" name="fig09" descr="TEB Waterfall"/>
            <wp:cNvGraphicFramePr/>
            <a:graphic xmlns:a="http://schemas.openxmlformats.org/drawingml/2006/main">
              <a:graphicData uri="http://schemas.openxmlformats.org/drawingml/2006/picture">
                <pic:pic xmlns:pic="http://schemas.openxmlformats.org/drawingml/2006/picture">
                  <pic:nvPicPr>
                    <pic:cNvPr id="0" name="fig09"/>
                    <pic:cNvPicPr/>
                  </pic:nvPicPr>
                  <pic:blipFill>
                    <a:blip r:embed="rId16"/>
                    <a:stretch>
                      <a:fillRect/>
                    </a:stretch>
                  </pic:blipFill>
                  <pic:spPr>
                    <a:xfrm>
                      <a:off x="0" y="0"/>
                      <a:ext cx="4425928" cy="2769435"/>
                    </a:xfrm>
                    <a:prstGeom prst="rect">
                      <a:avLst/>
                    </a:prstGeom>
                  </pic:spPr>
                </pic:pic>
              </a:graphicData>
            </a:graphic>
          </wp:inline>
        </w:drawing>
      </w:r>
    </w:p>
    <w:p w14:paraId="7C0203AB" w14:textId="6F10455E" w:rsidR="00A83BF0" w:rsidRDefault="00A83BF0" w:rsidP="00A83BF0">
      <w:pPr>
        <w:spacing w:before="60" w:after="240"/>
        <w:jc w:val="center"/>
      </w:pPr>
      <w:bookmarkStart w:id="39" w:name="_Toc223089374"/>
      <w:r>
        <w:rPr>
          <w:b/>
          <w:sz w:val="20"/>
          <w:szCs w:val="20"/>
        </w:rPr>
        <w:t>그림</w:t>
      </w:r>
      <w:r w:rsidR="00A42E45">
        <w:rPr>
          <w:rFonts w:hint="eastAsia"/>
          <w:b/>
          <w:sz w:val="20"/>
          <w:szCs w:val="20"/>
        </w:rPr>
        <w:t xml:space="preserve"> 6</w:t>
      </w:r>
      <w:r>
        <w:rPr>
          <w:b/>
          <w:sz w:val="20"/>
          <w:szCs w:val="20"/>
        </w:rPr>
        <w:t>.</w:t>
      </w:r>
      <w:r>
        <w:rPr>
          <w:sz w:val="20"/>
          <w:szCs w:val="20"/>
        </w:rPr>
        <w:t xml:space="preserve"> TEB 채널별 편익 누적 구조 </w:t>
      </w:r>
    </w:p>
    <w:p w14:paraId="18A48EAB" w14:textId="77777777" w:rsidR="00A83BF0" w:rsidRPr="00A83BF0" w:rsidRDefault="00A83BF0">
      <w:pPr>
        <w:pStyle w:val="2"/>
      </w:pPr>
    </w:p>
    <w:p w14:paraId="6C3761D3" w14:textId="7F486DAD" w:rsidR="0030440B" w:rsidRDefault="00605F6E">
      <w:pPr>
        <w:pStyle w:val="2"/>
      </w:pPr>
      <w:r>
        <w:t>5.6 몬테카를로 시뮬레이션 결과</w:t>
      </w:r>
      <w:bookmarkEnd w:id="39"/>
    </w:p>
    <w:p w14:paraId="6A984316" w14:textId="39E93177" w:rsidR="002A47FE" w:rsidRPr="002A47FE" w:rsidRDefault="002A47FE" w:rsidP="00D44227">
      <w:pPr>
        <w:ind w:firstLineChars="100" w:firstLine="240"/>
        <w:jc w:val="both"/>
        <w:rPr>
          <w:rFonts w:ascii="바탕" w:eastAsia="바탕" w:hAnsi="바탕"/>
        </w:rPr>
      </w:pPr>
      <w:bookmarkStart w:id="40" w:name="_Toc223089377"/>
      <w:r w:rsidRPr="002A47FE">
        <w:rPr>
          <w:rFonts w:ascii="바탕" w:eastAsia="바탕" w:hAnsi="바탕"/>
        </w:rPr>
        <w:t xml:space="preserve">10,000회 몬테카를로 시뮬레이션 결과, </w:t>
      </w:r>
      <w:r>
        <w:t>3개 채널의 합산 TEB</w:t>
      </w:r>
      <w:r w:rsidRPr="002A47FE">
        <w:rPr>
          <w:rFonts w:ascii="바탕" w:eastAsia="바탕" w:hAnsi="바탕"/>
        </w:rPr>
        <w:t xml:space="preserve"> 분포는 다음과 같다.</w:t>
      </w:r>
    </w:p>
    <w:p w14:paraId="6E528A77" w14:textId="1F0023A6" w:rsidR="002A47FE" w:rsidRDefault="002A47FE" w:rsidP="002A47FE">
      <w:pPr>
        <w:jc w:val="both"/>
        <w:rPr>
          <w:rFonts w:ascii="바탕" w:eastAsia="바탕" w:hAnsi="바탕"/>
        </w:rPr>
      </w:pPr>
      <w:r w:rsidRPr="002A47FE">
        <w:rPr>
          <w:rFonts w:ascii="바탕" w:eastAsia="바탕" w:hAnsi="바탕"/>
        </w:rPr>
        <w:t>10,000번의 시뮬레이션 결과, 하위 5% 극단 시나리오에서도 TEB는 19,329억 원(약 1.93조 원)으로 나타났다. 보수적 시나리오(금리 1.5%, 거래량 150조 원, 버퍼 비율 30%)에서도 TEB는 12,320억 원(약 1.23조 원)을 기록하여, 모든 시나리오에서 유의미한 경제적 편익이 확인되었다.</w:t>
      </w:r>
    </w:p>
    <w:p w14:paraId="27F2289A" w14:textId="100C733D" w:rsidR="00A83BF0" w:rsidRDefault="00A83BF0" w:rsidP="002A47FE">
      <w:pPr>
        <w:jc w:val="both"/>
        <w:rPr>
          <w:rFonts w:ascii="바탕" w:eastAsia="바탕" w:hAnsi="바탕"/>
        </w:rPr>
      </w:pPr>
      <w:r>
        <w:rPr>
          <w:noProof/>
        </w:rPr>
        <w:drawing>
          <wp:inline distT="0" distB="0" distL="0" distR="0" wp14:anchorId="48ADB617" wp14:editId="4B2F5C68">
            <wp:extent cx="5303520" cy="2997641"/>
            <wp:effectExtent l="0" t="0" r="0" b="0"/>
            <wp:docPr id="75456" name="fig04" descr="MC TEB Distribution"/>
            <wp:cNvGraphicFramePr/>
            <a:graphic xmlns:a="http://schemas.openxmlformats.org/drawingml/2006/main">
              <a:graphicData uri="http://schemas.openxmlformats.org/drawingml/2006/picture">
                <pic:pic xmlns:pic="http://schemas.openxmlformats.org/drawingml/2006/picture">
                  <pic:nvPicPr>
                    <pic:cNvPr id="0" name="fig04"/>
                    <pic:cNvPicPr/>
                  </pic:nvPicPr>
                  <pic:blipFill>
                    <a:blip r:embed="rId17"/>
                    <a:stretch>
                      <a:fillRect/>
                    </a:stretch>
                  </pic:blipFill>
                  <pic:spPr>
                    <a:xfrm>
                      <a:off x="0" y="0"/>
                      <a:ext cx="5303520" cy="2997641"/>
                    </a:xfrm>
                    <a:prstGeom prst="rect">
                      <a:avLst/>
                    </a:prstGeom>
                  </pic:spPr>
                </pic:pic>
              </a:graphicData>
            </a:graphic>
          </wp:inline>
        </w:drawing>
      </w:r>
    </w:p>
    <w:p w14:paraId="36704935" w14:textId="2AB2FC08" w:rsidR="00A83BF0" w:rsidRDefault="00A83BF0" w:rsidP="00A83BF0">
      <w:pPr>
        <w:spacing w:before="60" w:after="240"/>
        <w:jc w:val="center"/>
      </w:pPr>
      <w:r>
        <w:rPr>
          <w:b/>
          <w:sz w:val="20"/>
          <w:szCs w:val="20"/>
        </w:rPr>
        <w:lastRenderedPageBreak/>
        <w:t xml:space="preserve">그림 </w:t>
      </w:r>
      <w:r w:rsidR="00A42E45">
        <w:rPr>
          <w:rFonts w:hint="eastAsia"/>
          <w:b/>
          <w:sz w:val="20"/>
          <w:szCs w:val="20"/>
        </w:rPr>
        <w:t>7</w:t>
      </w:r>
      <w:r>
        <w:rPr>
          <w:b/>
          <w:sz w:val="20"/>
          <w:szCs w:val="20"/>
        </w:rPr>
        <w:t>.</w:t>
      </w:r>
      <w:r>
        <w:rPr>
          <w:sz w:val="20"/>
          <w:szCs w:val="20"/>
        </w:rPr>
        <w:t xml:space="preserve"> 몬테카를로 시뮬레이션 TEB 분포 (10,000회, 90% CI)</w:t>
      </w:r>
    </w:p>
    <w:p w14:paraId="16D48784" w14:textId="77777777" w:rsidR="002A47FE" w:rsidRPr="002A47FE" w:rsidRDefault="002A47FE" w:rsidP="002A47FE">
      <w:pPr>
        <w:jc w:val="both"/>
        <w:rPr>
          <w:rFonts w:ascii="바탕" w:eastAsia="바탕" w:hAnsi="바탕"/>
        </w:rPr>
      </w:pPr>
    </w:p>
    <w:p w14:paraId="6F96F183" w14:textId="77777777" w:rsidR="002A47FE" w:rsidRPr="002A47FE" w:rsidRDefault="002A47FE" w:rsidP="002A47FE">
      <w:pPr>
        <w:jc w:val="both"/>
        <w:rPr>
          <w:rFonts w:ascii="바탕" w:eastAsia="바탕" w:hAnsi="바탕"/>
        </w:rPr>
      </w:pPr>
      <w:r w:rsidRPr="002A47FE">
        <w:rPr>
          <w:rFonts w:ascii="바탕" w:eastAsia="바탕" w:hAnsi="바탕"/>
          <w:b/>
          <w:bCs/>
        </w:rPr>
        <w:t>민감도 분석 해석</w:t>
      </w:r>
    </w:p>
    <w:p w14:paraId="0CBC1937" w14:textId="0D130361" w:rsidR="002A47FE" w:rsidRPr="002A47FE" w:rsidRDefault="002A47FE" w:rsidP="0096574B">
      <w:pPr>
        <w:ind w:firstLineChars="100" w:firstLine="240"/>
        <w:jc w:val="both"/>
        <w:rPr>
          <w:rFonts w:ascii="바탕" w:eastAsia="바탕" w:hAnsi="바탕"/>
        </w:rPr>
      </w:pPr>
      <w:r w:rsidRPr="002A47FE">
        <w:rPr>
          <w:rFonts w:ascii="바탕" w:eastAsia="바탕" w:hAnsi="바탕"/>
        </w:rPr>
        <w:t>토네이도 차트에서 보듯, TEB에 가장 큰 영향을 미치는 변수는 다음 순서이다: (1) 거래량(V): ±20% 변동 시 TEB 23,199억~31,412억 원, (2) 장기균형금리(θ): ±20% 변동 시 TEB 21,844억~32,767억 원, (3) 초기금리(r</w:t>
      </w:r>
      <w:r w:rsidRPr="002A47FE">
        <w:rPr>
          <w:rFonts w:ascii="Cambria Math" w:eastAsia="바탕" w:hAnsi="Cambria Math" w:cs="Cambria Math"/>
        </w:rPr>
        <w:t>₀</w:t>
      </w:r>
      <w:r w:rsidRPr="002A47FE">
        <w:rPr>
          <w:rFonts w:ascii="바탕" w:eastAsia="바탕" w:hAnsi="바탕"/>
        </w:rPr>
        <w:t xml:space="preserve">): </w:t>
      </w:r>
      <w:r w:rsidRPr="002A47FE">
        <w:rPr>
          <w:rFonts w:ascii="바탕" w:eastAsia="바탕" w:hAnsi="바탕" w:hint="eastAsia"/>
        </w:rPr>
        <w:t>±</w:t>
      </w:r>
      <w:r w:rsidRPr="002A47FE">
        <w:rPr>
          <w:rFonts w:ascii="바탕" w:eastAsia="바탕" w:hAnsi="바탕"/>
        </w:rPr>
        <w:t xml:space="preserve">20% 변동 시 TEB 21,844억~32,767억 원, (4) LCR 버퍼 비율(α): ±20% 변동 시 TEB 25,951억~28,660억 원. 유동성 조기 회수 채널(채널 1)이 전체 TEB의 약 73.1%(22,109억/30,263억)를 차지하며, LCR 버퍼 절감 채널(채널 3)이 25.0%(7,569억/30,263억)로 두 번째로 큰 비중을 차지한다. 따라서 </w:t>
      </w:r>
      <w:proofErr w:type="spellStart"/>
      <w:r w:rsidRPr="002A47FE">
        <w:rPr>
          <w:rFonts w:ascii="바탕" w:eastAsia="바탕" w:hAnsi="바탕"/>
        </w:rPr>
        <w:t>온체인</w:t>
      </w:r>
      <w:proofErr w:type="spellEnd"/>
      <w:r w:rsidRPr="002A47FE">
        <w:rPr>
          <w:rFonts w:ascii="바탕" w:eastAsia="바탕" w:hAnsi="바탕"/>
        </w:rPr>
        <w:t xml:space="preserve"> </w:t>
      </w:r>
      <w:proofErr w:type="spellStart"/>
      <w:r w:rsidRPr="002A47FE">
        <w:rPr>
          <w:rFonts w:ascii="바탕" w:eastAsia="바탕" w:hAnsi="바탕"/>
        </w:rPr>
        <w:t>레포의</w:t>
      </w:r>
      <w:proofErr w:type="spellEnd"/>
      <w:r w:rsidRPr="002A47FE">
        <w:rPr>
          <w:rFonts w:ascii="바탕" w:eastAsia="바탕" w:hAnsi="바탕"/>
        </w:rPr>
        <w:t xml:space="preserve"> 경제성은 시장 규모(거래량)와 금리 수준에 가장 민감하며, LCR 규제 환경의 변화도 중요한 영향 요인이다. CIR 금리 모형의 파라미터 역시 OLS 회귀분석을 통해 실증적으로 추정하였으며(κ=2.7714, θ=2.984%, σ=0.1013), Feller 조건(2κθ=0.1654 &gt; σ²=0.0103)의 충족을 확인하여 금리의 </w:t>
      </w:r>
      <w:proofErr w:type="spellStart"/>
      <w:r w:rsidRPr="002A47FE">
        <w:rPr>
          <w:rFonts w:ascii="바탕" w:eastAsia="바탕" w:hAnsi="바탕"/>
        </w:rPr>
        <w:t>비음성</w:t>
      </w:r>
      <w:proofErr w:type="spellEnd"/>
      <w:r w:rsidRPr="002A47FE">
        <w:rPr>
          <w:rFonts w:ascii="바탕" w:eastAsia="바탕" w:hAnsi="바탕"/>
        </w:rPr>
        <w:t>(non-negativity)을 이론적으로 보장하였다.</w:t>
      </w:r>
    </w:p>
    <w:p w14:paraId="0BF94F8D" w14:textId="77777777" w:rsidR="002A47FE" w:rsidRPr="002A47FE" w:rsidRDefault="002A47FE" w:rsidP="002A47FE"/>
    <w:p w14:paraId="6C376201" w14:textId="3FE5A96E" w:rsidR="0030440B" w:rsidRDefault="00605F6E" w:rsidP="00710341">
      <w:r>
        <w:rPr>
          <w:b/>
          <w:bCs/>
          <w:sz w:val="28"/>
          <w:szCs w:val="28"/>
        </w:rPr>
        <w:t>6. 결론 및 정책 제언</w:t>
      </w:r>
      <w:bookmarkEnd w:id="40"/>
    </w:p>
    <w:p w14:paraId="6C376202" w14:textId="77777777" w:rsidR="0030440B" w:rsidRDefault="00605F6E">
      <w:pPr>
        <w:pStyle w:val="2"/>
      </w:pPr>
      <w:bookmarkStart w:id="41" w:name="_Toc223089378"/>
      <w:r>
        <w:t>6.1 핵심 결론</w:t>
      </w:r>
      <w:bookmarkEnd w:id="41"/>
    </w:p>
    <w:p w14:paraId="6C376204" w14:textId="31E56CD0" w:rsidR="0030440B" w:rsidRPr="00F033B9" w:rsidRDefault="003C7AD0" w:rsidP="002A47FE">
      <w:pPr>
        <w:ind w:firstLineChars="100" w:firstLine="240"/>
        <w:jc w:val="both"/>
      </w:pPr>
      <w:r>
        <w:rPr>
          <w:rFonts w:hint="eastAsia"/>
        </w:rPr>
        <w:t xml:space="preserve">본 논문에서는 </w:t>
      </w:r>
      <w:r w:rsidR="00605F6E">
        <w:t xml:space="preserve">블록체인 스마트 </w:t>
      </w:r>
      <w:proofErr w:type="spellStart"/>
      <w:r w:rsidR="00605F6E">
        <w:t>컨트랙트를</w:t>
      </w:r>
      <w:proofErr w:type="spellEnd"/>
      <w:r w:rsidR="00605F6E">
        <w:t xml:space="preserve"> 활용한 온체인 레포 시장을 한국에 최적화하여 설계하고, 그 경제적 유효성을 정량적으로 검증하였다. 핵심 결론은 세 가지로 요약된다.</w:t>
      </w:r>
    </w:p>
    <w:p w14:paraId="6C376206" w14:textId="2AA5E279" w:rsidR="0030440B" w:rsidRPr="00F033B9" w:rsidRDefault="00646A7A" w:rsidP="001204D9">
      <w:pPr>
        <w:jc w:val="both"/>
      </w:pPr>
      <w:r w:rsidRPr="00F033B9">
        <w:rPr>
          <w:rFonts w:hint="eastAsia"/>
        </w:rPr>
        <w:t xml:space="preserve"> 첫</w:t>
      </w:r>
      <w:r w:rsidRPr="00F033B9">
        <w:t>째, 기술적 실현 가능성을 입증하였다. KSD 중심 허가형 블록체인 아키텍처(Hyperledger Besu, IBFT 2.0)와 3종의 Solidity 스마트 컨트랙트(AtomicRepoContract, CollateralManager, SettlementFinality)는 Broadridge DLR 및 JPMorgan Kinexys 등 글로벌 선행 사례의 기술적 성공을 한국 시장 맥락에 적용 가능함을 보였다. 특히 동적 헤어컷 산출 로직과 FSS 규제 노드의 설계는 기존 글로벌 모델에 없는 본 연구의 학술적 기여이다.</w:t>
      </w:r>
    </w:p>
    <w:p w14:paraId="6C376208" w14:textId="330C945D" w:rsidR="0030440B" w:rsidRPr="00F033B9" w:rsidRDefault="00605F6E" w:rsidP="001204D9">
      <w:pPr>
        <w:ind w:firstLineChars="100" w:firstLine="240"/>
        <w:jc w:val="both"/>
      </w:pPr>
      <w:r w:rsidRPr="00F033B9">
        <w:t xml:space="preserve">둘째, 경제적 유효성을 정량 검증하였다. TEB 모델의 3개 편익 채널 분석과 10,000회 몬테카를로 시뮬레이션을 통해, </w:t>
      </w:r>
      <w:proofErr w:type="spellStart"/>
      <w:r w:rsidRPr="00F033B9">
        <w:t>온체인</w:t>
      </w:r>
      <w:proofErr w:type="spellEnd"/>
      <w:r w:rsidRPr="00F033B9">
        <w:t xml:space="preserve"> </w:t>
      </w:r>
      <w:proofErr w:type="spellStart"/>
      <w:r w:rsidRPr="00F033B9">
        <w:t>레포</w:t>
      </w:r>
      <w:proofErr w:type="spellEnd"/>
      <w:r w:rsidRPr="00F033B9">
        <w:t xml:space="preserve"> 도입 시 연간 평균 </w:t>
      </w:r>
      <w:r w:rsidR="00D44227" w:rsidRPr="00D44227">
        <w:t xml:space="preserve">약 </w:t>
      </w:r>
      <w:r w:rsidR="00D44227" w:rsidRPr="00D44227">
        <w:lastRenderedPageBreak/>
        <w:t>30,263억 원(약 3.03조 원, 90% CI: [19,329억, 44,028억] 원)의 경제적 편익이 발생</w:t>
      </w:r>
      <w:r w:rsidR="00D44227">
        <w:rPr>
          <w:rFonts w:hint="eastAsia"/>
        </w:rPr>
        <w:t>한다는 것을 파악할 수 있었다.</w:t>
      </w:r>
    </w:p>
    <w:p w14:paraId="6C37620A" w14:textId="38EE059D" w:rsidR="0030440B" w:rsidRPr="0096574B" w:rsidRDefault="00605F6E" w:rsidP="001204D9">
      <w:pPr>
        <w:ind w:firstLineChars="100" w:firstLine="240"/>
        <w:jc w:val="both"/>
      </w:pPr>
      <w:r w:rsidRPr="00F033B9">
        <w:t>셋째, 정책적 시사점을 제시하였다. 한국은 토큰증권 '발행' 인프라에 집중하고 있으나, '결제' 인프라의 블록체인 전환이 시급하다. 자본시장법 및 전자금융</w:t>
      </w:r>
      <w:r w:rsidRPr="0096574B">
        <w:t>거래법 개정을 통한 블록체인 결제의 법적 완결성 인정과, KSD의 온체인 결제 운영 권한 부여를 정책 제언한다.</w:t>
      </w:r>
    </w:p>
    <w:p w14:paraId="6C37620B" w14:textId="77777777" w:rsidR="0030440B" w:rsidRPr="0096574B" w:rsidRDefault="00605F6E" w:rsidP="001204D9">
      <w:pPr>
        <w:ind w:firstLineChars="100" w:firstLine="240"/>
        <w:jc w:val="both"/>
      </w:pPr>
      <w:r w:rsidRPr="0096574B">
        <w:t>특히 주목할 점은, 외국의 경우 Broadridge, JPMorgan, Fnality 등 여러 민간회사가 개별적으로 온체인 레포 플랫폼을 운영하고 있어 유동성 파편화(liquidity fragmentation) 문제가 발생할 수 있는 반면, 한국은 KSD라는 단일 중앙예탁결제기관을 통해 온체인 레포를 구현함으로써 이러한 파편화를 원천적으로 방지할 수 있다는 것이다. 이는 다수의 민간 주체가 경쟁적으로 인프라를 구축하는 해외 모델과 차별화되는 한국형 모델의 핵심 강점이며, 전체 시장 참여자의 유동성이 하나의 풀(pool)에 집중됨으로써 가격 발견 효율성과 시장 깊이(market depth)가 극대화되는 구조적 이점을 제공한다.</w:t>
      </w:r>
    </w:p>
    <w:p w14:paraId="4248B881" w14:textId="77777777" w:rsidR="002A47FE" w:rsidRDefault="002A47FE" w:rsidP="001204D9">
      <w:pPr>
        <w:ind w:firstLineChars="100" w:firstLine="240"/>
        <w:jc w:val="both"/>
      </w:pPr>
    </w:p>
    <w:p w14:paraId="6C37620C" w14:textId="4DD03FEA" w:rsidR="0030440B" w:rsidRDefault="00605F6E">
      <w:pPr>
        <w:pStyle w:val="2"/>
      </w:pPr>
      <w:bookmarkStart w:id="42" w:name="_Toc223089379"/>
      <w:r>
        <w:t>6.2 정책 제언 및</w:t>
      </w:r>
      <w:bookmarkEnd w:id="42"/>
      <w:r w:rsidR="00ED14E4">
        <w:rPr>
          <w:rFonts w:hint="eastAsia"/>
        </w:rPr>
        <w:t xml:space="preserve"> 로드맵</w:t>
      </w:r>
    </w:p>
    <w:p w14:paraId="6C37620D" w14:textId="3FBD44B8" w:rsidR="0030440B" w:rsidRDefault="00605F6E" w:rsidP="0096574B">
      <w:pPr>
        <w:ind w:firstLineChars="100" w:firstLine="240"/>
        <w:jc w:val="both"/>
      </w:pPr>
      <w:proofErr w:type="spellStart"/>
      <w:r>
        <w:t>온체인</w:t>
      </w:r>
      <w:proofErr w:type="spellEnd"/>
      <w:r>
        <w:t xml:space="preserve"> </w:t>
      </w:r>
      <w:proofErr w:type="spellStart"/>
      <w:r>
        <w:t>레포의</w:t>
      </w:r>
      <w:proofErr w:type="spellEnd"/>
      <w:r>
        <w:t xml:space="preserve"> 조기 도입을 위한 정책 제언은 다음과 같다.</w:t>
      </w:r>
    </w:p>
    <w:p w14:paraId="6C37620E" w14:textId="77777777" w:rsidR="0030440B" w:rsidRDefault="0030440B"/>
    <w:p w14:paraId="6C37620F" w14:textId="77777777" w:rsidR="0030440B" w:rsidRDefault="00605F6E">
      <w:pPr>
        <w:pStyle w:val="3"/>
      </w:pPr>
      <w:bookmarkStart w:id="43" w:name="_Toc223089380"/>
      <w:r>
        <w:t>Phase 1 (2026-2027): 법적 기반 구축 및 파일럿</w:t>
      </w:r>
      <w:bookmarkEnd w:id="43"/>
    </w:p>
    <w:p w14:paraId="6C376211" w14:textId="3AA89F1D" w:rsidR="0030440B" w:rsidRDefault="0062405F" w:rsidP="00646A7A">
      <w:pPr>
        <w:jc w:val="both"/>
      </w:pPr>
      <w:r>
        <w:rPr>
          <w:rFonts w:hint="eastAsia"/>
        </w:rPr>
        <w:t xml:space="preserve"> 온체인 레포를 구축하기 앞서 법 개정과 정책 가이드라인이 필요하다. 자</w:t>
      </w:r>
      <w:r>
        <w:t>본시장법 제294조</w:t>
      </w:r>
      <w:r>
        <w:rPr>
          <w:rFonts w:hint="eastAsia"/>
        </w:rPr>
        <w:t>를 개</w:t>
      </w:r>
      <w:r>
        <w:t>정</w:t>
      </w:r>
      <w:r>
        <w:rPr>
          <w:rFonts w:hint="eastAsia"/>
        </w:rPr>
        <w:t>하여</w:t>
      </w:r>
      <w:r>
        <w:t xml:space="preserve"> KSD의 '온체인 결제 인프라 운영' 권한을 명시적으로 부여한다. 현행법은 '증권의 예탁·관리·결제'만 규정하고 있으나, 블록체인 기반 결제를 포함하도록 개정 필요</w:t>
      </w:r>
      <w:r>
        <w:rPr>
          <w:rFonts w:hint="eastAsia"/>
        </w:rPr>
        <w:t xml:space="preserve">하다. 또한 </w:t>
      </w:r>
      <w:r w:rsidR="00FB08A8">
        <w:rPr>
          <w:rFonts w:hint="eastAsia"/>
        </w:rPr>
        <w:t>전</w:t>
      </w:r>
      <w:r>
        <w:t>자금융거래법 개정</w:t>
      </w:r>
      <w:r>
        <w:rPr>
          <w:rFonts w:hint="eastAsia"/>
        </w:rPr>
        <w:t xml:space="preserve">하여 </w:t>
      </w:r>
      <w:r w:rsidR="00FB08A8">
        <w:rPr>
          <w:rFonts w:hint="eastAsia"/>
        </w:rPr>
        <w:t>스</w:t>
      </w:r>
      <w:r>
        <w:t xml:space="preserve">마트 </w:t>
      </w:r>
      <w:proofErr w:type="spellStart"/>
      <w:r>
        <w:t>컨트랙트에</w:t>
      </w:r>
      <w:proofErr w:type="spellEnd"/>
      <w:r>
        <w:t xml:space="preserve"> 의한 자동 거래의 법적 효력을 인정하는 조항 추가</w:t>
      </w:r>
      <w:r>
        <w:rPr>
          <w:rFonts w:hint="eastAsia"/>
        </w:rPr>
        <w:t>한다. 현재</w:t>
      </w:r>
      <w:r>
        <w:t>는 '전자적 명령'의 범위가 모호하여 스마트 컨트랙트의 법적 지위가 불명확한 상태</w:t>
      </w:r>
      <w:r>
        <w:rPr>
          <w:rFonts w:hint="eastAsia"/>
        </w:rPr>
        <w:t>다.그리고</w:t>
      </w:r>
      <w:r>
        <w:t xml:space="preserve"> FSS 감독 규정 신설: </w:t>
      </w:r>
      <w:proofErr w:type="spellStart"/>
      <w:r>
        <w:t>온체인</w:t>
      </w:r>
      <w:proofErr w:type="spellEnd"/>
      <w:r>
        <w:t xml:space="preserve"> 거래소 및 CSD의 감독 기준(이용자 보호, 사이버 보안, 시스템 안정성)을 정책 가이드라인으로 공시</w:t>
      </w:r>
      <w:r>
        <w:rPr>
          <w:rFonts w:hint="eastAsia"/>
        </w:rPr>
        <w:t>한다.</w:t>
      </w:r>
    </w:p>
    <w:p w14:paraId="6C376213" w14:textId="765F6EB8" w:rsidR="0030440B" w:rsidRDefault="00646A7A" w:rsidP="001204D9">
      <w:pPr>
        <w:jc w:val="both"/>
      </w:pPr>
      <w:r>
        <w:rPr>
          <w:rFonts w:hint="eastAsia"/>
        </w:rPr>
        <w:t xml:space="preserve"> 그 이후로 KSD와 금융</w:t>
      </w:r>
      <w:r>
        <w:t>위원회 주관으로 '온체인 레포 파일럿 프로젝트'를 시작한</w:t>
      </w:r>
      <w:r>
        <w:lastRenderedPageBreak/>
        <w:t xml:space="preserve">다. </w:t>
      </w:r>
      <w:r>
        <w:rPr>
          <w:rFonts w:hint="eastAsia"/>
        </w:rPr>
        <w:t>K</w:t>
      </w:r>
      <w:r w:rsidR="00FB08A8">
        <w:rPr>
          <w:rFonts w:hint="eastAsia"/>
        </w:rPr>
        <w:t>S</w:t>
      </w:r>
      <w:r>
        <w:rPr>
          <w:rFonts w:hint="eastAsia"/>
        </w:rPr>
        <w:t>D와 금융위원회 주관으로 진행하는 이유는 유동성 파편화를 막기 위함이다. 초기에는 국</w:t>
      </w:r>
      <w:r>
        <w:t>민은행, 삼성증권, 한국투자증권</w:t>
      </w:r>
      <w:r>
        <w:rPr>
          <w:rFonts w:hint="eastAsia"/>
        </w:rPr>
        <w:t xml:space="preserve">,DB 증권 등 5~10개 기관들이 참여한다. 처음에는 </w:t>
      </w:r>
      <w:r>
        <w:t>Hyperledger Besu 테스트넷 기반</w:t>
      </w:r>
      <w:r>
        <w:rPr>
          <w:rFonts w:hint="eastAsia"/>
        </w:rPr>
        <w:t>으로 운영을 한다</w:t>
      </w:r>
      <w:r w:rsidR="002A47FE">
        <w:rPr>
          <w:rFonts w:hint="eastAsia"/>
        </w:rPr>
        <w:t>.</w:t>
      </w:r>
    </w:p>
    <w:p w14:paraId="64B3C71D" w14:textId="77777777" w:rsidR="002A47FE" w:rsidRDefault="002A47FE" w:rsidP="001204D9">
      <w:pPr>
        <w:jc w:val="both"/>
      </w:pPr>
    </w:p>
    <w:p w14:paraId="6C376214" w14:textId="77777777" w:rsidR="0030440B" w:rsidRDefault="00605F6E">
      <w:pPr>
        <w:pStyle w:val="3"/>
      </w:pPr>
      <w:bookmarkStart w:id="44" w:name="_Toc223089381"/>
      <w:r>
        <w:t>Phase 2 (2027-2028): 메인넷 전환 및 점진적 확대</w:t>
      </w:r>
      <w:bookmarkEnd w:id="44"/>
    </w:p>
    <w:p w14:paraId="6C376218" w14:textId="1E5A20B8" w:rsidR="0030440B" w:rsidRDefault="00605F6E" w:rsidP="001204D9">
      <w:pPr>
        <w:ind w:firstLineChars="100" w:firstLine="240"/>
        <w:jc w:val="both"/>
      </w:pPr>
      <w:r>
        <w:t>파일럿 결과를 바탕으로 메인 블록체인을 구축하고, 참여 기관을 확대한다. 10개 이상의 금융기관 참여</w:t>
      </w:r>
      <w:r>
        <w:rPr>
          <w:rFonts w:hint="eastAsia"/>
        </w:rPr>
        <w:t>하고, 초기의 국</w:t>
      </w:r>
      <w:r>
        <w:t>채·통안채에서 출발하여, 회사채, ETF, 펀드까지 담보 자산 범위 확대</w:t>
      </w:r>
      <w:r>
        <w:rPr>
          <w:rFonts w:hint="eastAsia"/>
        </w:rPr>
        <w:t xml:space="preserve">한다. </w:t>
      </w:r>
    </w:p>
    <w:p w14:paraId="1120E8EE" w14:textId="77777777" w:rsidR="002A47FE" w:rsidRDefault="002A47FE" w:rsidP="001204D9">
      <w:pPr>
        <w:ind w:firstLineChars="100" w:firstLine="240"/>
        <w:jc w:val="both"/>
      </w:pPr>
    </w:p>
    <w:p w14:paraId="6C376219" w14:textId="77777777" w:rsidR="0030440B" w:rsidRDefault="00605F6E">
      <w:pPr>
        <w:pStyle w:val="3"/>
      </w:pPr>
      <w:bookmarkStart w:id="45" w:name="_Toc223089382"/>
      <w:r>
        <w:t>Phase 3 (2028-2030): 국제 연계 및 글로벌 경쟁력 확보</w:t>
      </w:r>
      <w:bookmarkEnd w:id="45"/>
    </w:p>
    <w:p w14:paraId="6C37621B" w14:textId="329B5CCA" w:rsidR="0030440B" w:rsidRDefault="00605F6E" w:rsidP="001204D9">
      <w:pPr>
        <w:ind w:firstLineChars="100" w:firstLine="240"/>
        <w:jc w:val="both"/>
      </w:pPr>
      <w:r>
        <w:t xml:space="preserve">글로벌 온체인 레포 플랫폼과의 크로스보더 연계를 추진한다. </w:t>
      </w:r>
      <w:r>
        <w:rPr>
          <w:rFonts w:hint="eastAsia"/>
        </w:rPr>
        <w:t>먼저</w:t>
      </w:r>
      <w:r>
        <w:t xml:space="preserve"> Chainlink 같은 크로스체인 Oracle 도입으로 미국 온체인 레포 플랫폼(Broadridge)과 직접 연결</w:t>
      </w:r>
      <w:r>
        <w:rPr>
          <w:rFonts w:hint="eastAsia"/>
        </w:rPr>
        <w:t>하고,</w:t>
      </w:r>
      <w:r>
        <w:t>원화/달러 크로스 온체인 레포 상품 출시</w:t>
      </w:r>
      <w:r>
        <w:rPr>
          <w:rFonts w:hint="eastAsia"/>
        </w:rPr>
        <w:t>한다. 그 후 싱</w:t>
      </w:r>
      <w:r>
        <w:t>가포르(MAS Project Guardian), 홍콩(HKMA eMoneyIsland)과의 크로스보더 파일럿</w:t>
      </w:r>
      <w:r>
        <w:rPr>
          <w:rFonts w:hint="eastAsia"/>
        </w:rPr>
        <w:t>을 진행한다.</w:t>
      </w:r>
    </w:p>
    <w:p w14:paraId="6C37621C" w14:textId="77777777" w:rsidR="0030440B" w:rsidRDefault="00605F6E" w:rsidP="001204D9">
      <w:pPr>
        <w:jc w:val="both"/>
      </w:pPr>
      <w:r>
        <w:t xml:space="preserve">이를 통해 한국의 </w:t>
      </w:r>
      <w:proofErr w:type="spellStart"/>
      <w:r>
        <w:t>온체인</w:t>
      </w:r>
      <w:proofErr w:type="spellEnd"/>
      <w:r>
        <w:t xml:space="preserve"> </w:t>
      </w:r>
      <w:proofErr w:type="spellStart"/>
      <w:r>
        <w:t>레포</w:t>
      </w:r>
      <w:proofErr w:type="spellEnd"/>
      <w:r>
        <w:t xml:space="preserve"> 시스템을 글로벌 표준으로 자리매김하고, 동북아 금융 허브로서의 위상을 강화할 수 있다.</w:t>
      </w:r>
    </w:p>
    <w:p w14:paraId="7CA40B13" w14:textId="77777777" w:rsidR="009F1B87" w:rsidRDefault="009F1B87" w:rsidP="001204D9">
      <w:pPr>
        <w:jc w:val="both"/>
      </w:pPr>
    </w:p>
    <w:p w14:paraId="6C376230" w14:textId="6F3C3B28" w:rsidR="0030440B" w:rsidRDefault="00605F6E" w:rsidP="003B18B8">
      <w:pPr>
        <w:pStyle w:val="2"/>
      </w:pPr>
      <w:bookmarkStart w:id="46" w:name="_Toc223089383"/>
      <w:r>
        <w:t>6.3 규제 개정안 (입법 제안)</w:t>
      </w:r>
      <w:bookmarkEnd w:id="46"/>
    </w:p>
    <w:p w14:paraId="2950D17E" w14:textId="77777777" w:rsidR="003B18B8" w:rsidRPr="003B18B8" w:rsidRDefault="003B18B8" w:rsidP="003B18B8">
      <w:pPr>
        <w:rPr>
          <w:b/>
          <w:bCs/>
        </w:rPr>
      </w:pPr>
      <w:r>
        <w:rPr>
          <w:b/>
          <w:bCs/>
        </w:rPr>
        <w:t>현행 규제 한계</w:t>
      </w:r>
    </w:p>
    <w:p w14:paraId="146904CF" w14:textId="748CB939" w:rsidR="003B18B8" w:rsidRDefault="003B18B8" w:rsidP="001204D9">
      <w:pPr>
        <w:ind w:firstLineChars="100" w:firstLine="240"/>
        <w:rPr>
          <w:rFonts w:ascii="Times New Roman" w:hAnsi="Times New Roman" w:cs="Times New Roman"/>
        </w:rPr>
      </w:pPr>
      <w:r>
        <w:t>현재 자본시장법 제294조는 한국예탁결제원(KSD)의 업무를 증권 예탁·관리·결제에 국한하며, 블록체인 기반 결제 인프라 운영을 명시적으로 포함하지 못하고 있</w:t>
      </w:r>
      <w:r w:rsidR="00360CF5">
        <w:rPr>
          <w:rFonts w:hint="eastAsia"/>
        </w:rPr>
        <w:t>다</w:t>
      </w:r>
      <w:r>
        <w:t>.</w:t>
      </w:r>
      <w:r>
        <w:rPr>
          <w:rStyle w:val="a6"/>
        </w:rPr>
        <w:footnoteReference w:id="28"/>
      </w:r>
      <w:r>
        <w:t xml:space="preserve"> 전자금융거래법 제2조는 전자적 방식의 자금·증권 이전을 포괄하나, 스마트 </w:t>
      </w:r>
      <w:proofErr w:type="spellStart"/>
      <w:r>
        <w:t>컨트랙트의</w:t>
      </w:r>
      <w:proofErr w:type="spellEnd"/>
      <w:r>
        <w:t xml:space="preserve"> 자율적·조건부 자동집행을 명확한 전자금융거래로 규정하지 않아 법적 불확실성이 존재</w:t>
      </w:r>
      <w:r w:rsidR="00360CF5">
        <w:rPr>
          <w:rFonts w:hint="eastAsia"/>
        </w:rPr>
        <w:t>한</w:t>
      </w:r>
      <w:r>
        <w:t>다</w:t>
      </w:r>
      <w:r>
        <w:rPr>
          <w:rStyle w:val="a6"/>
        </w:rPr>
        <w:footnoteReference w:id="29"/>
      </w:r>
      <w:r>
        <w:t xml:space="preserve">. 또한 금융감독원(FSS)은 </w:t>
      </w:r>
      <w:proofErr w:type="spellStart"/>
      <w:r>
        <w:t>온체인</w:t>
      </w:r>
      <w:proofErr w:type="spellEnd"/>
      <w:r>
        <w:t xml:space="preserve"> CSD 감독을 위한 구체적 가이드라인을 제시하지 못하고 있으며, 분산원장 상의 실시간 거래 </w:t>
      </w:r>
      <w:r>
        <w:lastRenderedPageBreak/>
        <w:t>모니터링 및 리스크 관리 기준이 부재한 상황</w:t>
      </w:r>
      <w:r w:rsidR="00360CF5">
        <w:rPr>
          <w:rFonts w:hint="eastAsia"/>
        </w:rPr>
        <w:t>이다</w:t>
      </w:r>
      <w:r>
        <w:t>.</w:t>
      </w:r>
      <w:r>
        <w:rPr>
          <w:rFonts w:ascii="Times New Roman" w:hAnsi="Times New Roman" w:cs="Times New Roman"/>
        </w:rPr>
        <w:t>​</w:t>
      </w:r>
    </w:p>
    <w:p w14:paraId="39B5401A" w14:textId="77777777" w:rsidR="001204D9" w:rsidRPr="001204D9" w:rsidRDefault="001204D9" w:rsidP="001204D9">
      <w:pPr>
        <w:ind w:firstLineChars="100" w:firstLine="240"/>
        <w:rPr>
          <w:rFonts w:ascii="Times New Roman" w:hAnsi="Times New Roman" w:cs="Times New Roman"/>
        </w:rPr>
      </w:pPr>
    </w:p>
    <w:p w14:paraId="04899A73" w14:textId="326D0673" w:rsidR="003B18B8" w:rsidRPr="003B18B8" w:rsidRDefault="003B18B8" w:rsidP="003B18B8">
      <w:pPr>
        <w:rPr>
          <w:b/>
          <w:bCs/>
        </w:rPr>
      </w:pPr>
      <w:r>
        <w:rPr>
          <w:b/>
          <w:bCs/>
        </w:rPr>
        <w:t>정책 제안</w:t>
      </w:r>
    </w:p>
    <w:p w14:paraId="02679A4E" w14:textId="380B52AD" w:rsidR="003B18B8" w:rsidRPr="00F80BEC" w:rsidRDefault="003B18B8" w:rsidP="002F5A62">
      <w:pPr>
        <w:ind w:firstLineChars="100" w:firstLine="240"/>
      </w:pPr>
      <w:r>
        <w:rPr>
          <w:rFonts w:hint="eastAsia"/>
        </w:rPr>
        <w:t>첫번째로,</w:t>
      </w:r>
      <w:r>
        <w:t xml:space="preserve"> 자본시장법 제294조 업무 범위 확대</w:t>
      </w:r>
      <w:r>
        <w:rPr>
          <w:rFonts w:hint="eastAsia"/>
        </w:rPr>
        <w:t>가 필요</w:t>
      </w:r>
      <w:r w:rsidR="00360CF5">
        <w:rPr>
          <w:rFonts w:hint="eastAsia"/>
        </w:rPr>
        <w:t>하다</w:t>
      </w:r>
      <w:r>
        <w:rPr>
          <w:rFonts w:hint="eastAsia"/>
        </w:rPr>
        <w:t xml:space="preserve">. </w:t>
      </w:r>
      <w:r>
        <w:t xml:space="preserve">KSD의 법적 업무에 "분산원장기술(DLT) 기반 증권예탁·결제 인프라 개발 및 운영"을 명시적으로 추가하여, 온체인 CSD의 법적 근거를 확립하고 민간 블록체인 </w:t>
      </w:r>
      <w:proofErr w:type="spellStart"/>
      <w:r>
        <w:t>레포시스템의</w:t>
      </w:r>
      <w:proofErr w:type="spellEnd"/>
      <w:r>
        <w:t xml:space="preserve"> 표준화된 연동을 보장</w:t>
      </w:r>
      <w:r w:rsidR="00360CF5">
        <w:rPr>
          <w:rFonts w:hint="eastAsia"/>
        </w:rPr>
        <w:t>한다</w:t>
      </w:r>
      <w:r>
        <w:t>.</w:t>
      </w:r>
    </w:p>
    <w:p w14:paraId="2A72C35E" w14:textId="7FD7388E" w:rsidR="003B18B8" w:rsidRDefault="003B18B8" w:rsidP="002F5A62">
      <w:pPr>
        <w:ind w:firstLineChars="100" w:firstLine="240"/>
        <w:rPr>
          <w:rFonts w:hint="eastAsia"/>
        </w:rPr>
      </w:pPr>
      <w:r>
        <w:rPr>
          <w:rFonts w:hint="eastAsia"/>
        </w:rPr>
        <w:t xml:space="preserve">두번째로, </w:t>
      </w:r>
      <w:r>
        <w:t>전자금융거래법 제2조 정의 보</w:t>
      </w:r>
      <w:r>
        <w:rPr>
          <w:rFonts w:hint="eastAsia"/>
        </w:rPr>
        <w:t xml:space="preserve">완을 </w:t>
      </w:r>
      <w:proofErr w:type="spellStart"/>
      <w:r>
        <w:rPr>
          <w:rFonts w:hint="eastAsia"/>
        </w:rPr>
        <w:t>해야</w:t>
      </w:r>
      <w:r w:rsidR="00360CF5">
        <w:rPr>
          <w:rFonts w:hint="eastAsia"/>
        </w:rPr>
        <w:t>한다</w:t>
      </w:r>
      <w:proofErr w:type="spellEnd"/>
      <w:r>
        <w:rPr>
          <w:rFonts w:hint="eastAsia"/>
        </w:rPr>
        <w:t xml:space="preserve">. </w:t>
      </w:r>
      <w:r w:rsidR="00223867">
        <w:rPr>
          <w:rFonts w:hint="eastAsia"/>
        </w:rPr>
        <w:t>전</w:t>
      </w:r>
      <w:r>
        <w:t>자금융거래 정의에 "스마트 컨트랙트에 의한 자동집행 거래(조건부 자금·증권 이전 포함)"를 명시, DvP 스마트 컨트랙트의 법적 효력을 명확</w:t>
      </w:r>
      <w:r>
        <w:rPr>
          <w:rFonts w:hint="eastAsia"/>
        </w:rPr>
        <w:t>히해서</w:t>
      </w:r>
      <w:r>
        <w:t xml:space="preserve"> 온체인 레포의 계약 </w:t>
      </w:r>
      <w:proofErr w:type="spellStart"/>
      <w:r>
        <w:t>이행력을</w:t>
      </w:r>
      <w:proofErr w:type="spellEnd"/>
      <w:r>
        <w:t xml:space="preserve"> 강화</w:t>
      </w:r>
      <w:r w:rsidR="00360CF5">
        <w:rPr>
          <w:rFonts w:hint="eastAsia"/>
        </w:rPr>
        <w:t>해야 한다.</w:t>
      </w:r>
    </w:p>
    <w:p w14:paraId="577C0178" w14:textId="3DBCE3CA" w:rsidR="003B18B8" w:rsidRPr="003B18B8" w:rsidRDefault="002F5A62" w:rsidP="002F5A62">
      <w:pPr>
        <w:ind w:firstLineChars="100" w:firstLine="240"/>
      </w:pPr>
      <w:r>
        <w:rPr>
          <w:rFonts w:hint="eastAsia"/>
        </w:rPr>
        <w:t xml:space="preserve">마지막으로, </w:t>
      </w:r>
      <w:r>
        <w:t xml:space="preserve">금융감독원은 "온체인 CSD 감독 가이드라인(신규 통지)"을 통해 노드 데이터 접근, 스마트 컨트랙트 감사 주기, 실시간 거래 모니터링 기준을 마련하고, KSD-BOK-Wire+ 연동 시 API 표준화 및 사이버 보안 프로토콜을 의무화해야 </w:t>
      </w:r>
      <w:r w:rsidR="00360CF5">
        <w:rPr>
          <w:rFonts w:hint="eastAsia"/>
        </w:rPr>
        <w:t>한다</w:t>
      </w:r>
      <w:r>
        <w:t>.</w:t>
      </w:r>
    </w:p>
    <w:p w14:paraId="4B513CEC" w14:textId="4A9F9D0A" w:rsidR="003B18B8" w:rsidRPr="003B18B8" w:rsidRDefault="003B18B8" w:rsidP="002F5A62">
      <w:pPr>
        <w:ind w:firstLineChars="100" w:firstLine="240"/>
      </w:pPr>
      <w:r>
        <w:t>이러한 법·규제 정비는 한국형 온체인 레포 시스템의 조건부 상용화를 가속화하며, </w:t>
      </w:r>
      <w:r>
        <w:rPr>
          <w:rFonts w:hint="eastAsia"/>
        </w:rPr>
        <w:t>우리나라의 온체인 레포 시스템이 올바르게 작동하도록 도울 것</w:t>
      </w:r>
      <w:r w:rsidR="00360CF5">
        <w:rPr>
          <w:rFonts w:hint="eastAsia"/>
        </w:rPr>
        <w:t>이다</w:t>
      </w:r>
      <w:r>
        <w:rPr>
          <w:rFonts w:hint="eastAsia"/>
        </w:rPr>
        <w:t>.</w:t>
      </w:r>
    </w:p>
    <w:p w14:paraId="6C37624B" w14:textId="77777777" w:rsidR="0030440B" w:rsidRPr="003B18B8" w:rsidRDefault="0030440B"/>
    <w:p w14:paraId="6C37624C" w14:textId="5FCE7BEA" w:rsidR="0030440B" w:rsidRDefault="00605F6E">
      <w:pPr>
        <w:pStyle w:val="2"/>
      </w:pPr>
      <w:bookmarkStart w:id="47" w:name="_Toc223089385"/>
      <w:r>
        <w:t>6.</w:t>
      </w:r>
      <w:r w:rsidR="00400F46">
        <w:rPr>
          <w:rFonts w:hint="eastAsia"/>
        </w:rPr>
        <w:t>4</w:t>
      </w:r>
      <w:r>
        <w:t xml:space="preserve"> 기대 효과 및 결론</w:t>
      </w:r>
      <w:bookmarkEnd w:id="47"/>
    </w:p>
    <w:p w14:paraId="6C37624D" w14:textId="77777777" w:rsidR="0030440B" w:rsidRDefault="00605F6E" w:rsidP="00100BC1">
      <w:pPr>
        <w:ind w:firstLineChars="100" w:firstLine="240"/>
        <w:jc w:val="both"/>
      </w:pPr>
      <w:r>
        <w:t>본 연구의 온체인 레포 제안이 실현될 경우, 다음과 같은 다층적 기대 효과를 예상할 수 있다.</w:t>
      </w:r>
    </w:p>
    <w:p w14:paraId="7C7714CB" w14:textId="36E2EBBA" w:rsidR="00A83BF0" w:rsidRPr="00100BC1" w:rsidRDefault="00EC0304" w:rsidP="00100BC1">
      <w:pPr>
        <w:ind w:firstLineChars="100" w:firstLine="240"/>
        <w:jc w:val="both"/>
      </w:pPr>
      <w:r>
        <w:rPr>
          <w:noProof/>
        </w:rPr>
        <w:lastRenderedPageBreak/>
        <w:drawing>
          <wp:inline distT="0" distB="0" distL="0" distR="0" wp14:anchorId="3A7A1E1B" wp14:editId="79E1BBFC">
            <wp:extent cx="5303520" cy="2613328"/>
            <wp:effectExtent l="0" t="0" r="0" b="0"/>
            <wp:docPr id="80938" name="fig11" descr="T1 vs T0 Comparison"/>
            <wp:cNvGraphicFramePr/>
            <a:graphic xmlns:a="http://schemas.openxmlformats.org/drawingml/2006/main">
              <a:graphicData uri="http://schemas.openxmlformats.org/drawingml/2006/picture">
                <pic:pic xmlns:pic="http://schemas.openxmlformats.org/drawingml/2006/picture">
                  <pic:nvPicPr>
                    <pic:cNvPr id="0" name="fig11"/>
                    <pic:cNvPicPr/>
                  </pic:nvPicPr>
                  <pic:blipFill>
                    <a:blip r:embed="rId18"/>
                    <a:stretch>
                      <a:fillRect/>
                    </a:stretch>
                  </pic:blipFill>
                  <pic:spPr>
                    <a:xfrm>
                      <a:off x="0" y="0"/>
                      <a:ext cx="5303520" cy="2613328"/>
                    </a:xfrm>
                    <a:prstGeom prst="rect">
                      <a:avLst/>
                    </a:prstGeom>
                  </pic:spPr>
                </pic:pic>
              </a:graphicData>
            </a:graphic>
          </wp:inline>
        </w:drawing>
      </w:r>
    </w:p>
    <w:p w14:paraId="70C0A3EB" w14:textId="2FB47632" w:rsidR="00A83BF0" w:rsidRDefault="00A83BF0" w:rsidP="00A83BF0">
      <w:pPr>
        <w:spacing w:before="60" w:after="240"/>
        <w:jc w:val="center"/>
      </w:pPr>
      <w:r>
        <w:rPr>
          <w:b/>
          <w:sz w:val="20"/>
          <w:szCs w:val="20"/>
        </w:rPr>
        <w:t xml:space="preserve">그림 </w:t>
      </w:r>
      <w:r w:rsidR="00A42E45">
        <w:rPr>
          <w:rFonts w:hint="eastAsia"/>
          <w:b/>
          <w:sz w:val="20"/>
          <w:szCs w:val="20"/>
        </w:rPr>
        <w:t>8</w:t>
      </w:r>
      <w:r>
        <w:rPr>
          <w:b/>
          <w:sz w:val="20"/>
          <w:szCs w:val="20"/>
        </w:rPr>
        <w:t>.</w:t>
      </w:r>
      <w:r>
        <w:rPr>
          <w:sz w:val="20"/>
          <w:szCs w:val="20"/>
        </w:rPr>
        <w:t xml:space="preserve"> T+1 대비 T+0 전환 시 주요 지표 개선 효과</w:t>
      </w:r>
    </w:p>
    <w:p w14:paraId="5E6200AC" w14:textId="77777777" w:rsidR="00A83BF0" w:rsidRPr="00A83BF0" w:rsidRDefault="00A83BF0" w:rsidP="00100BC1">
      <w:pPr>
        <w:ind w:firstLineChars="100" w:firstLine="240"/>
        <w:jc w:val="both"/>
      </w:pPr>
    </w:p>
    <w:p w14:paraId="6C37624F" w14:textId="5883E629" w:rsidR="0030440B" w:rsidRPr="00100BC1" w:rsidRDefault="00E56EAE" w:rsidP="00100BC1">
      <w:pPr>
        <w:ind w:firstLineChars="100" w:firstLine="240"/>
        <w:jc w:val="both"/>
      </w:pPr>
      <w:r>
        <w:rPr>
          <w:rFonts w:hint="eastAsia"/>
        </w:rPr>
        <w:t xml:space="preserve">먼저, </w:t>
      </w:r>
      <w:r>
        <w:t>결제 리스크 91.7%</w:t>
      </w:r>
      <w:r w:rsidR="001204D9">
        <w:rPr>
          <w:rFonts w:hint="eastAsia"/>
        </w:rPr>
        <w:t xml:space="preserve"> </w:t>
      </w:r>
      <w:r>
        <w:t>감소로 금융시스템의 counterparty risk와 settlement risk가 획기적으로 감소. 이는 글로벌 금융위기 이후 규제당국의 최대 관심사인 시스템 리스크 완화에 직결</w:t>
      </w:r>
      <w:r>
        <w:rPr>
          <w:rFonts w:hint="eastAsia"/>
        </w:rPr>
        <w:t>이 될 것이다.</w:t>
      </w:r>
    </w:p>
    <w:p w14:paraId="6C376253" w14:textId="64C974DE" w:rsidR="0030440B" w:rsidRPr="00100BC1" w:rsidRDefault="00100BC1" w:rsidP="00100BC1">
      <w:pPr>
        <w:ind w:firstLineChars="100" w:firstLine="240"/>
        <w:jc w:val="both"/>
      </w:pPr>
      <w:r>
        <w:rPr>
          <w:rFonts w:hint="eastAsia"/>
        </w:rPr>
        <w:t xml:space="preserve">두번째로는 </w:t>
      </w:r>
      <w:r>
        <w:t>시장 효율성 개선</w:t>
      </w:r>
      <w:r w:rsidR="001204D9">
        <w:rPr>
          <w:rFonts w:hint="eastAsia"/>
        </w:rPr>
        <w:t>이다.</w:t>
      </w:r>
      <w:r>
        <w:t xml:space="preserve"> 유동성 조기 회수(약 </w:t>
      </w:r>
      <w:r w:rsidR="001204D9">
        <w:rPr>
          <w:rFonts w:hint="eastAsia"/>
        </w:rPr>
        <w:t>2조</w:t>
      </w:r>
      <w:r>
        <w:t xml:space="preserve"> 원)</w:t>
      </w:r>
      <w:r w:rsidR="001204D9">
        <w:rPr>
          <w:rFonts w:hint="eastAsia"/>
        </w:rPr>
        <w:t xml:space="preserve"> </w:t>
      </w:r>
      <w:r>
        <w:t xml:space="preserve">+ </w:t>
      </w:r>
      <w:proofErr w:type="spellStart"/>
      <w:r>
        <w:t>헤어컷</w:t>
      </w:r>
      <w:proofErr w:type="spellEnd"/>
      <w:r>
        <w:t xml:space="preserve"> 축소에 따른 담보 효율화(약 </w:t>
      </w:r>
      <w:r w:rsidR="001204D9">
        <w:rPr>
          <w:rFonts w:hint="eastAsia"/>
        </w:rPr>
        <w:t>524</w:t>
      </w:r>
      <w:r>
        <w:t>억 원)</w:t>
      </w:r>
      <w:r w:rsidR="001204D9">
        <w:rPr>
          <w:rFonts w:hint="eastAsia"/>
        </w:rPr>
        <w:t xml:space="preserve"> </w:t>
      </w:r>
      <w:r>
        <w:t xml:space="preserve">+ LCR 버퍼 절감(약 </w:t>
      </w:r>
      <w:r w:rsidR="001204D9">
        <w:rPr>
          <w:rFonts w:hint="eastAsia"/>
        </w:rPr>
        <w:t>6772억</w:t>
      </w:r>
      <w:r>
        <w:t xml:space="preserve"> 원</w:t>
      </w:r>
      <w:r w:rsidR="001204D9">
        <w:rPr>
          <w:rFonts w:hint="eastAsia"/>
        </w:rPr>
        <w:t>)</w:t>
      </w:r>
      <w:r>
        <w:t xml:space="preserve">으로 금융권 전체의 자본 효율성이 약 </w:t>
      </w:r>
      <w:r w:rsidR="001204D9">
        <w:rPr>
          <w:rFonts w:hint="eastAsia"/>
        </w:rPr>
        <w:t>2.73</w:t>
      </w:r>
      <w:r>
        <w:t>조 원 증대</w:t>
      </w:r>
      <w:r w:rsidR="001204D9">
        <w:rPr>
          <w:rFonts w:hint="eastAsia"/>
        </w:rPr>
        <w:t>된다</w:t>
      </w:r>
      <w:r>
        <w:t>. 이는 전체 금융권 자본의 유의미한 효율성</w:t>
      </w:r>
      <w:r w:rsidR="00751BC8">
        <w:rPr>
          <w:rFonts w:hint="eastAsia"/>
        </w:rPr>
        <w:t>을</w:t>
      </w:r>
      <w:r>
        <w:t xml:space="preserve"> 개선</w:t>
      </w:r>
      <w:r w:rsidR="001204D9">
        <w:rPr>
          <w:rFonts w:hint="eastAsia"/>
        </w:rPr>
        <w:t>한다.</w:t>
      </w:r>
    </w:p>
    <w:p w14:paraId="6C376255" w14:textId="4D7D51C3" w:rsidR="0030440B" w:rsidRDefault="00100BC1" w:rsidP="00100BC1">
      <w:pPr>
        <w:ind w:firstLineChars="100" w:firstLine="240"/>
        <w:jc w:val="both"/>
      </w:pPr>
      <w:r>
        <w:rPr>
          <w:rFonts w:hint="eastAsia"/>
        </w:rPr>
        <w:t xml:space="preserve">세번째로는 미국형 모델이 아닌 한국형 독자 모델을 통해서 </w:t>
      </w:r>
      <w:r>
        <w:t>기술 리더십</w:t>
      </w:r>
      <w:r w:rsidR="00751BC8">
        <w:rPr>
          <w:rFonts w:hint="eastAsia"/>
        </w:rPr>
        <w:t>을</w:t>
      </w:r>
      <w:r>
        <w:t xml:space="preserve"> 확보</w:t>
      </w:r>
      <w:r>
        <w:rPr>
          <w:rFonts w:hint="eastAsia"/>
        </w:rPr>
        <w:t>할 수 있다.</w:t>
      </w:r>
      <w:r>
        <w:t xml:space="preserve"> 한국형 온체인 레포 모델(KSD 중심, FSS 감독 노드, 동적 헤어컷)을 글로벌 표준으로 자리매김하여, 동북아 금융 허브로서의 디지털 금융 경쟁력 강화</w:t>
      </w:r>
      <w:r w:rsidR="002A47FE">
        <w:rPr>
          <w:rFonts w:hint="eastAsia"/>
        </w:rPr>
        <w:t>할 것이다.</w:t>
      </w:r>
    </w:p>
    <w:p w14:paraId="6C376259" w14:textId="3420E870" w:rsidR="0030440B" w:rsidRDefault="00605F6E" w:rsidP="00100BC1">
      <w:pPr>
        <w:ind w:firstLineChars="100" w:firstLine="240"/>
        <w:jc w:val="both"/>
      </w:pPr>
      <w:r>
        <w:t>결론적으로, 블록체인 기술이 단순한 '기술 혁신'을 넘어 '금융 시스템 효율성 혁명'으로 작동할 수 있음을 보여주며, 한국이 이러한 혁신을 설계·주도함으로써 글로벌 금융 질서에서의 위상을 재정의할 수 있는 기회를 제시한다.</w:t>
      </w:r>
    </w:p>
    <w:p w14:paraId="6C37625B" w14:textId="118C692B" w:rsidR="0030440B" w:rsidRDefault="00605F6E" w:rsidP="002A47FE">
      <w:pPr>
        <w:ind w:firstLineChars="100" w:firstLine="240"/>
        <w:jc w:val="both"/>
      </w:pPr>
      <w:r>
        <w:t>특히 본 연구에서 수행한 10,000회 몬테카를로 시뮬레이션의 결과는 단순한 이론적 추정이 아닌, 한국은행 ECOS에서 추출한 실제 KOFR 일별 데이터 1,044건(2021년 11월~2026년 2월)과 한국은행의 2025년 12월중 통화 및 유동성 동향 보고서의 실제 레포 거래량 데이터를 기반으로 도출된 결과라는 점에서 학술적 기</w:t>
      </w:r>
      <w:r>
        <w:lastRenderedPageBreak/>
        <w:t xml:space="preserve">여도가 높다. CIR 금리 모형의 파라미터 역시 OLS 회귀분석을 통해 실증적으로 추정하였으며(κ=2.7714, θ=2.984%, σ=0.1013), Feller 조건(2κθ &gt; σ²)의 충족을 확인하여 금리의 </w:t>
      </w:r>
      <w:proofErr w:type="spellStart"/>
      <w:r>
        <w:t>비음성</w:t>
      </w:r>
      <w:proofErr w:type="spellEnd"/>
      <w:r>
        <w:t>(non-negativity)을 이론적으로 보장하였다.</w:t>
      </w:r>
    </w:p>
    <w:p w14:paraId="6C37625D" w14:textId="77777777" w:rsidR="0030440B" w:rsidRDefault="00605F6E" w:rsidP="00B74A07">
      <w:pPr>
        <w:ind w:firstLineChars="100" w:firstLine="240"/>
        <w:jc w:val="both"/>
      </w:pPr>
      <w:r>
        <w:t>향후 한국예탁결제원과의 협력을 통해 실제 일중(intraday) 거래 데이터를 확보할 수 있다면, 본 모델의 예측 정확도를 더욱 향상시킬 수 있을 것이다. 또한 Hyperledger Besu 테스트넷 위에서의 Proof of Concept(PoC) 구현과, 금융위원회·금융감독원과의 규제 샌드박스 논의를 통해 실질적인 제도화 경로를 마련하는 것이 중장기적 과제로 남는다. 이러한 후속 연구를 통해 한국형 온체인 레포 시장은 이론적 설계를 넘어 실질적 금융 인프라 혁신으로 자리매김할 수 있을 것이다.</w:t>
      </w:r>
    </w:p>
    <w:p w14:paraId="6C37625F" w14:textId="78812716" w:rsidR="0030440B" w:rsidRDefault="00B74A07">
      <w:pPr>
        <w:jc w:val="both"/>
      </w:pPr>
      <w:r>
        <w:rPr>
          <w:rFonts w:hint="eastAsia"/>
        </w:rPr>
        <w:t xml:space="preserve"> </w:t>
      </w:r>
      <w:r w:rsidR="002A47FE">
        <w:rPr>
          <w:rFonts w:hint="eastAsia"/>
        </w:rPr>
        <w:t>아</w:t>
      </w:r>
      <w:r>
        <w:t xml:space="preserve">울러 본 연구에서 제안한 동적 헤어컷 산출 메커니즘은 레포 시장뿐만 아니라 파생상품 증거금(margin) 관리, 증권대차 담보 관리 등 다양한 담보 기반 금융거래에 확장 적용할 수 있는 범용적 프레임워크로서의 가치를 지닌다. KSD의 단일 운영 모델이 유동성 파편화를 방지하는 동시에 규모의 경제를 실현할 수 있다는 점은, 다수의 민간 플랫폼이 난립하는 해외 시장에서 이미 부각되고 있는 상호운용성(interoperability) 문제를 사전적으로 해결하는 </w:t>
      </w:r>
      <w:proofErr w:type="spellStart"/>
      <w:r>
        <w:t>선제적</w:t>
      </w:r>
      <w:proofErr w:type="spellEnd"/>
      <w:r>
        <w:t xml:space="preserve"> 설계다.</w:t>
      </w:r>
    </w:p>
    <w:p w14:paraId="6C376261" w14:textId="0F7A0482" w:rsidR="0030440B" w:rsidRDefault="00B74A07">
      <w:pPr>
        <w:jc w:val="both"/>
      </w:pPr>
      <w:r>
        <w:rPr>
          <w:rFonts w:hint="eastAsia"/>
        </w:rPr>
        <w:t xml:space="preserve"> </w:t>
      </w:r>
      <w:r w:rsidR="001204D9">
        <w:rPr>
          <w:rFonts w:hint="eastAsia"/>
        </w:rPr>
        <w:t>마</w:t>
      </w:r>
      <w:r>
        <w:t>지막으로, 본 연구의 TEB 분석 프레임워크는 온체인 레포에 국한되지 않고, 토큰화 증권 전반의 경제적 편익 평가에 활용할 수 있는 방법론적 기여를 제공한다. 유동성 채널, 헤어컷 최적화 채널, 버퍼 절감 채널의 3채널 분해 접근법은 DLT 기반 금융 인프라 도입 시의 비용-편익 분석(CBA)을 위한 표준적 분석 틀로 발전시킬 수 있으며, 이는 정책 당국의 의사결정에도 실질적인 참고 자료가 될 수 있을 것이다.</w:t>
      </w:r>
    </w:p>
    <w:p w14:paraId="6C376262" w14:textId="77777777" w:rsidR="0030440B" w:rsidRDefault="00605F6E">
      <w:r>
        <w:br w:type="page"/>
      </w:r>
    </w:p>
    <w:p w14:paraId="1E08BB9D" w14:textId="77777777" w:rsidR="008A707B" w:rsidRPr="00F07B89" w:rsidRDefault="008A707B" w:rsidP="008A707B">
      <w:pPr>
        <w:pStyle w:val="1"/>
      </w:pPr>
      <w:bookmarkStart w:id="48" w:name="_Toc223089386"/>
      <w:r w:rsidRPr="00F07B89">
        <w:lastRenderedPageBreak/>
        <w:t>참고문헌</w:t>
      </w:r>
      <w:bookmarkEnd w:id="48"/>
    </w:p>
    <w:p w14:paraId="50123BDE" w14:textId="77777777" w:rsidR="008A707B" w:rsidRDefault="008A707B" w:rsidP="008A707B">
      <w:pPr>
        <w:jc w:val="both"/>
        <w:rPr>
          <w:b/>
          <w:bCs/>
          <w:sz w:val="26"/>
          <w:szCs w:val="26"/>
        </w:rPr>
      </w:pPr>
      <w:r w:rsidRPr="002A47FE">
        <w:rPr>
          <w:b/>
          <w:bCs/>
          <w:sz w:val="26"/>
          <w:szCs w:val="26"/>
        </w:rPr>
        <w:t>[국내 문헌]</w:t>
      </w:r>
    </w:p>
    <w:p w14:paraId="3B85225A" w14:textId="77777777" w:rsidR="001D302A" w:rsidRPr="002A47FE" w:rsidRDefault="001D302A" w:rsidP="008A707B">
      <w:pPr>
        <w:jc w:val="both"/>
        <w:rPr>
          <w:b/>
          <w:bCs/>
          <w:sz w:val="26"/>
          <w:szCs w:val="26"/>
        </w:rPr>
      </w:pPr>
    </w:p>
    <w:p w14:paraId="3FA54E9D" w14:textId="5A653A84" w:rsidR="001D302A" w:rsidRDefault="008A707B" w:rsidP="008A707B">
      <w:pPr>
        <w:jc w:val="both"/>
      </w:pPr>
      <w:r w:rsidRPr="00F07B89">
        <w:t xml:space="preserve">1. </w:t>
      </w:r>
      <w:r w:rsidR="001D302A" w:rsidRPr="001D302A">
        <w:t xml:space="preserve">국내 주요 은행별 일반현황 공시 자료. (2025). 제주은행·카카오뱅크·케이뱅크·토스뱅크 등 </w:t>
      </w:r>
      <w:r w:rsidR="001D302A">
        <w:rPr>
          <w:rFonts w:hint="eastAsia"/>
        </w:rPr>
        <w:t xml:space="preserve">18개 </w:t>
      </w:r>
      <w:proofErr w:type="spellStart"/>
      <w:r w:rsidR="001D302A">
        <w:rPr>
          <w:rFonts w:hint="eastAsia"/>
        </w:rPr>
        <w:t>금융사</w:t>
      </w:r>
      <w:proofErr w:type="spellEnd"/>
      <w:r w:rsidR="001D302A">
        <w:rPr>
          <w:rFonts w:hint="eastAsia"/>
        </w:rPr>
        <w:t xml:space="preserve"> 2025년 3분기</w:t>
      </w:r>
      <w:r w:rsidR="001D302A" w:rsidRPr="001D302A">
        <w:t xml:space="preserve"> </w:t>
      </w:r>
      <w:r w:rsidR="001D302A">
        <w:rPr>
          <w:rFonts w:hint="eastAsia"/>
        </w:rPr>
        <w:t xml:space="preserve">일반 현황 </w:t>
      </w:r>
      <w:r w:rsidR="001D302A" w:rsidRPr="001D302A">
        <w:t>공시 자료 종합</w:t>
      </w:r>
    </w:p>
    <w:p w14:paraId="668F9893" w14:textId="54083850" w:rsidR="008A707B" w:rsidRPr="00F07B89" w:rsidRDefault="001D302A" w:rsidP="008A707B">
      <w:pPr>
        <w:jc w:val="both"/>
      </w:pPr>
      <w:r>
        <w:rPr>
          <w:rFonts w:hint="eastAsia"/>
        </w:rPr>
        <w:t xml:space="preserve">2. </w:t>
      </w:r>
      <w:proofErr w:type="spellStart"/>
      <w:r w:rsidR="008A707B" w:rsidRPr="00F07B89">
        <w:t>kofr</w:t>
      </w:r>
      <w:proofErr w:type="spellEnd"/>
      <w:r w:rsidR="008A707B" w:rsidRPr="00F07B89">
        <w:t>. (2026.02.26). "2026년 2월 26일 기준 KOFR".</w:t>
      </w:r>
    </w:p>
    <w:p w14:paraId="2DDD32F1" w14:textId="75A9292B" w:rsidR="008A707B" w:rsidRPr="00F07B89" w:rsidRDefault="001D302A" w:rsidP="008A707B">
      <w:pPr>
        <w:jc w:val="both"/>
      </w:pPr>
      <w:r>
        <w:rPr>
          <w:rFonts w:hint="eastAsia"/>
        </w:rPr>
        <w:t>3</w:t>
      </w:r>
      <w:r w:rsidR="008A707B" w:rsidRPr="00F07B89">
        <w:t xml:space="preserve">. </w:t>
      </w:r>
      <w:proofErr w:type="spellStart"/>
      <w:r w:rsidR="008A707B" w:rsidRPr="00F07B89">
        <w:t>브릿지경제</w:t>
      </w:r>
      <w:proofErr w:type="spellEnd"/>
      <w:r w:rsidR="008A707B" w:rsidRPr="00F07B89">
        <w:t xml:space="preserve">. (2025.01.15). "지난해 기관간 Repo시장 일평균잔액 209조원…전년比 18.8% 증가". </w:t>
      </w:r>
    </w:p>
    <w:p w14:paraId="19F824D7" w14:textId="30F8E450" w:rsidR="008A707B" w:rsidRPr="00F07B89" w:rsidRDefault="001D302A" w:rsidP="008A707B">
      <w:pPr>
        <w:jc w:val="both"/>
      </w:pPr>
      <w:r>
        <w:rPr>
          <w:rFonts w:hint="eastAsia"/>
        </w:rPr>
        <w:t>4</w:t>
      </w:r>
      <w:r w:rsidR="008A707B" w:rsidRPr="00F07B89">
        <w:t>. 연합뉴스. (2025.01.12). "한은, 계엄 후 RP 매입에 47.6조…팬데믹 때 연간 총액보다 많아".</w:t>
      </w:r>
    </w:p>
    <w:p w14:paraId="5FAA050D" w14:textId="71877F4C" w:rsidR="008A707B" w:rsidRPr="00F07B89" w:rsidRDefault="001D302A" w:rsidP="008A707B">
      <w:pPr>
        <w:jc w:val="both"/>
      </w:pPr>
      <w:r>
        <w:rPr>
          <w:rFonts w:hint="eastAsia"/>
        </w:rPr>
        <w:t>5</w:t>
      </w:r>
      <w:r w:rsidR="008A707B" w:rsidRPr="00F07B89">
        <w:t>. 이민혁 외. (2025). "</w:t>
      </w:r>
      <w:proofErr w:type="spellStart"/>
      <w:r w:rsidR="008A707B" w:rsidRPr="00F07B89">
        <w:t>채권토큰의</w:t>
      </w:r>
      <w:proofErr w:type="spellEnd"/>
      <w:r w:rsidR="008A707B" w:rsidRPr="00F07B89">
        <w:t xml:space="preserve"> 경제성 분석". 한국금융공학회.</w:t>
      </w:r>
    </w:p>
    <w:p w14:paraId="18909F5D" w14:textId="7B47D4B1" w:rsidR="008A707B" w:rsidRPr="00F07B89" w:rsidRDefault="001D302A" w:rsidP="008A707B">
      <w:pPr>
        <w:jc w:val="both"/>
      </w:pPr>
      <w:r>
        <w:rPr>
          <w:rFonts w:hint="eastAsia"/>
        </w:rPr>
        <w:t>6</w:t>
      </w:r>
      <w:r w:rsidR="008A707B" w:rsidRPr="00F07B89">
        <w:t>. 금융위원회. (2023.02.06). "[보도자료] 토큰 증권(Security Token) 발행·유통 규율체계 정비방안".</w:t>
      </w:r>
    </w:p>
    <w:p w14:paraId="7F3E6BE1" w14:textId="52AE669D" w:rsidR="008A707B" w:rsidRDefault="001D302A" w:rsidP="008A707B">
      <w:pPr>
        <w:jc w:val="both"/>
      </w:pPr>
      <w:r>
        <w:rPr>
          <w:rFonts w:hint="eastAsia"/>
        </w:rPr>
        <w:t>7</w:t>
      </w:r>
      <w:r w:rsidR="008A707B" w:rsidRPr="00F07B89">
        <w:t>. 국가법령정보센터. "전자금융거래법 제2조(정의)".</w:t>
      </w:r>
    </w:p>
    <w:p w14:paraId="7099769B" w14:textId="77777777" w:rsidR="002A47FE" w:rsidRPr="00F07B89" w:rsidRDefault="002A47FE" w:rsidP="008A707B">
      <w:pPr>
        <w:jc w:val="both"/>
      </w:pPr>
    </w:p>
    <w:p w14:paraId="18BD8051" w14:textId="77777777" w:rsidR="008A707B" w:rsidRPr="002A47FE" w:rsidRDefault="008A707B" w:rsidP="008A707B">
      <w:pPr>
        <w:jc w:val="both"/>
        <w:rPr>
          <w:b/>
          <w:bCs/>
          <w:sz w:val="26"/>
          <w:szCs w:val="26"/>
        </w:rPr>
      </w:pPr>
      <w:r w:rsidRPr="002A47FE">
        <w:rPr>
          <w:b/>
          <w:bCs/>
          <w:sz w:val="26"/>
          <w:szCs w:val="26"/>
        </w:rPr>
        <w:t>[해외 문헌]</w:t>
      </w:r>
    </w:p>
    <w:p w14:paraId="38F0545B" w14:textId="246872F8" w:rsidR="008A707B" w:rsidRPr="00F07B89" w:rsidRDefault="001D302A" w:rsidP="008A707B">
      <w:pPr>
        <w:jc w:val="both"/>
      </w:pPr>
      <w:r>
        <w:rPr>
          <w:rFonts w:hint="eastAsia"/>
        </w:rPr>
        <w:t>8</w:t>
      </w:r>
      <w:r w:rsidR="008A707B" w:rsidRPr="00F07B89">
        <w:t>. SEC Division of Trading and Markets. (2025.12.11). "No-Action Letter to DTCC (Brian Steele 등)".</w:t>
      </w:r>
    </w:p>
    <w:p w14:paraId="76E0F1FC" w14:textId="28A01F82" w:rsidR="008A707B" w:rsidRPr="00F07B89" w:rsidRDefault="001D302A" w:rsidP="008A707B">
      <w:pPr>
        <w:jc w:val="both"/>
      </w:pPr>
      <w:r>
        <w:rPr>
          <w:rFonts w:hint="eastAsia"/>
        </w:rPr>
        <w:t>9</w:t>
      </w:r>
      <w:r w:rsidR="008A707B" w:rsidRPr="00F07B89">
        <w:t>. Broadridge Financial Solutions, Inc. (2025.12.04). "Broadridge's Distributed Ledger Repo Platform Processes $368 Billion in Average Daily Trade Volumes in November". </w:t>
      </w:r>
    </w:p>
    <w:p w14:paraId="2EB042F7" w14:textId="680E2361" w:rsidR="008A707B" w:rsidRPr="00F07B89" w:rsidRDefault="001D302A" w:rsidP="008A707B">
      <w:pPr>
        <w:jc w:val="both"/>
      </w:pPr>
      <w:r>
        <w:rPr>
          <w:rFonts w:hint="eastAsia"/>
        </w:rPr>
        <w:t>10</w:t>
      </w:r>
      <w:r w:rsidR="008A707B" w:rsidRPr="00F07B89">
        <w:t>. Bank of England. (2025.11). "Project Meridian Securities: Final Report".</w:t>
      </w:r>
    </w:p>
    <w:p w14:paraId="3B05BF4B" w14:textId="464EAFCC" w:rsidR="008A707B" w:rsidRPr="00F07B89" w:rsidRDefault="008A707B" w:rsidP="008A707B">
      <w:pPr>
        <w:jc w:val="both"/>
      </w:pPr>
      <w:r w:rsidRPr="00F07B89">
        <w:t>1</w:t>
      </w:r>
      <w:r w:rsidR="001D302A">
        <w:rPr>
          <w:rFonts w:hint="eastAsia"/>
        </w:rPr>
        <w:t>1</w:t>
      </w:r>
      <w:r w:rsidRPr="00F07B89">
        <w:t>. Ledger Insights. (2025.09.10). "Broadridge's DLR approaches $6T monthly".</w:t>
      </w:r>
    </w:p>
    <w:p w14:paraId="6688779C" w14:textId="4857C777" w:rsidR="008A707B" w:rsidRPr="00F07B89" w:rsidRDefault="008A707B" w:rsidP="008A707B">
      <w:pPr>
        <w:jc w:val="both"/>
      </w:pPr>
      <w:r w:rsidRPr="00F07B89">
        <w:t>1</w:t>
      </w:r>
      <w:r w:rsidR="001D302A">
        <w:rPr>
          <w:rFonts w:hint="eastAsia"/>
        </w:rPr>
        <w:t>2</w:t>
      </w:r>
      <w:r w:rsidRPr="00F07B89">
        <w:t xml:space="preserve">. GFMA &amp; BCG. (2025.08). "The Impact of Distributed Ledger Technology in Capital Markets". </w:t>
      </w:r>
    </w:p>
    <w:p w14:paraId="1C6193EF" w14:textId="1616C0F3" w:rsidR="008A707B" w:rsidRPr="00F07B89" w:rsidRDefault="008A707B" w:rsidP="008A707B">
      <w:pPr>
        <w:jc w:val="both"/>
      </w:pPr>
      <w:r w:rsidRPr="00F07B89">
        <w:t>1</w:t>
      </w:r>
      <w:r w:rsidR="001D302A">
        <w:rPr>
          <w:rFonts w:hint="eastAsia"/>
        </w:rPr>
        <w:t>3</w:t>
      </w:r>
      <w:r w:rsidRPr="00F07B89">
        <w:t xml:space="preserve">. </w:t>
      </w:r>
      <w:proofErr w:type="spellStart"/>
      <w:r w:rsidRPr="00F07B89">
        <w:t>Chainlink</w:t>
      </w:r>
      <w:proofErr w:type="spellEnd"/>
      <w:r w:rsidRPr="00F07B89">
        <w:rPr>
          <w:rFonts w:hint="eastAsia"/>
        </w:rPr>
        <w:t>.</w:t>
      </w:r>
      <w:r w:rsidRPr="00F07B89">
        <w:t xml:space="preserve"> (2025.06.08). "Realizing the </w:t>
      </w:r>
      <w:proofErr w:type="spellStart"/>
      <w:r w:rsidRPr="00F07B89">
        <w:t>Onchain</w:t>
      </w:r>
      <w:proofErr w:type="spellEnd"/>
      <w:r w:rsidRPr="00F07B89">
        <w:t xml:space="preserve"> Cash Opportunity".</w:t>
      </w:r>
    </w:p>
    <w:p w14:paraId="6674FFC1" w14:textId="2C13167F" w:rsidR="008A707B" w:rsidRPr="00F07B89" w:rsidRDefault="008A707B" w:rsidP="008A707B">
      <w:pPr>
        <w:jc w:val="both"/>
      </w:pPr>
      <w:r w:rsidRPr="00F07B89">
        <w:t>1</w:t>
      </w:r>
      <w:r w:rsidR="001D302A">
        <w:rPr>
          <w:rFonts w:hint="eastAsia"/>
        </w:rPr>
        <w:t>4</w:t>
      </w:r>
      <w:r w:rsidRPr="00F07B89">
        <w:t>. Broadridge Financial Solutions. (2025). "Return on Innovation: Intraday Repo has Arrived on Scale". Whitepaper.</w:t>
      </w:r>
    </w:p>
    <w:p w14:paraId="31847757" w14:textId="5DAC1570" w:rsidR="008A707B" w:rsidRPr="00F07B89" w:rsidRDefault="008A707B" w:rsidP="008A707B">
      <w:pPr>
        <w:jc w:val="both"/>
      </w:pPr>
      <w:r w:rsidRPr="00F07B89">
        <w:t>1</w:t>
      </w:r>
      <w:r w:rsidR="001D302A">
        <w:rPr>
          <w:rFonts w:hint="eastAsia"/>
        </w:rPr>
        <w:t>5</w:t>
      </w:r>
      <w:r w:rsidRPr="00F07B89">
        <w:t>. Clearstream. (2024-2025). "</w:t>
      </w:r>
      <w:proofErr w:type="spellStart"/>
      <w:r w:rsidRPr="00F07B89">
        <w:t>HQLAx</w:t>
      </w:r>
      <w:proofErr w:type="spellEnd"/>
      <w:r w:rsidRPr="00F07B89">
        <w:t>-Clearstream-Eurex Repo DvP".</w:t>
      </w:r>
    </w:p>
    <w:p w14:paraId="41E3117B" w14:textId="1CF32AB3" w:rsidR="008A707B" w:rsidRPr="00F07B89" w:rsidRDefault="008A707B" w:rsidP="008A707B">
      <w:pPr>
        <w:jc w:val="both"/>
      </w:pPr>
      <w:r w:rsidRPr="00F07B89">
        <w:lastRenderedPageBreak/>
        <w:t>1</w:t>
      </w:r>
      <w:r w:rsidR="001D302A">
        <w:rPr>
          <w:rFonts w:hint="eastAsia"/>
        </w:rPr>
        <w:t>6</w:t>
      </w:r>
      <w:r w:rsidRPr="00F07B89">
        <w:t>. Biliana Alexandrova-</w:t>
      </w:r>
      <w:proofErr w:type="spellStart"/>
      <w:r w:rsidRPr="00F07B89">
        <w:t>Kabadjova</w:t>
      </w:r>
      <w:proofErr w:type="spellEnd"/>
      <w:r w:rsidRPr="00F07B89">
        <w:t xml:space="preserve"> et al. (2023.04). "Intraday liquidity around the world". BIS Working Papers No 1089.</w:t>
      </w:r>
    </w:p>
    <w:p w14:paraId="2A1A0F4C" w14:textId="3D23A7F6" w:rsidR="008A707B" w:rsidRPr="00F07B89" w:rsidRDefault="008A707B" w:rsidP="008A707B">
      <w:pPr>
        <w:jc w:val="both"/>
      </w:pPr>
      <w:r w:rsidRPr="00F07B89">
        <w:t>1</w:t>
      </w:r>
      <w:r w:rsidR="001D302A">
        <w:rPr>
          <w:rFonts w:hint="eastAsia"/>
        </w:rPr>
        <w:t>7</w:t>
      </w:r>
      <w:r w:rsidRPr="00F07B89">
        <w:t xml:space="preserve">. Basel Committee on Banking Supervision (BCBS). (2023). "CRE22 – </w:t>
      </w:r>
      <w:proofErr w:type="spellStart"/>
      <w:r w:rsidRPr="00F07B89">
        <w:t>Standardised</w:t>
      </w:r>
      <w:proofErr w:type="spellEnd"/>
      <w:r w:rsidRPr="00F07B89">
        <w:t xml:space="preserve"> approach: credit risk mitigation". </w:t>
      </w:r>
    </w:p>
    <w:p w14:paraId="088E7CF0" w14:textId="1BEF5087" w:rsidR="008A707B" w:rsidRPr="00F07B89" w:rsidRDefault="008A707B" w:rsidP="008A707B">
      <w:pPr>
        <w:jc w:val="both"/>
      </w:pPr>
      <w:r w:rsidRPr="00F07B89">
        <w:t>1</w:t>
      </w:r>
      <w:r w:rsidR="001D302A">
        <w:rPr>
          <w:rFonts w:hint="eastAsia"/>
        </w:rPr>
        <w:t>8</w:t>
      </w:r>
      <w:r w:rsidRPr="00F07B89">
        <w:t xml:space="preserve">. Antoinette Schoar, Esen Onur, &amp; Ingrid Werner. (2022.11.07). "What Is Atomic Settlement?". Liberty Street Economics, Federal Reserve Bank of New York. </w:t>
      </w:r>
    </w:p>
    <w:p w14:paraId="5D5BA5BA" w14:textId="25EB2B4B" w:rsidR="008A707B" w:rsidRPr="00F07B89" w:rsidRDefault="008A707B" w:rsidP="008A707B">
      <w:pPr>
        <w:jc w:val="both"/>
      </w:pPr>
      <w:r w:rsidRPr="00F07B89">
        <w:t>1</w:t>
      </w:r>
      <w:r w:rsidR="001D302A">
        <w:rPr>
          <w:rFonts w:hint="eastAsia"/>
        </w:rPr>
        <w:t>9</w:t>
      </w:r>
      <w:r w:rsidRPr="00F07B89">
        <w:t>. Darrell Duffie. (2020.08). "Resilience redux: The Treasury market in the COVID-19 crisis". Jackson Hole Economic Symposium.</w:t>
      </w:r>
    </w:p>
    <w:p w14:paraId="1FF1C6A9" w14:textId="30668B1F" w:rsidR="008A707B" w:rsidRPr="00F07B89" w:rsidRDefault="001D302A" w:rsidP="008A707B">
      <w:pPr>
        <w:jc w:val="both"/>
      </w:pPr>
      <w:r>
        <w:rPr>
          <w:rFonts w:hint="eastAsia"/>
        </w:rPr>
        <w:t>20</w:t>
      </w:r>
      <w:r w:rsidR="008A707B" w:rsidRPr="00F07B89">
        <w:t>. Bank for International Settlements (BIS). (2012). "Payment, Clearing and Settlement Systems in Korea". CPMI.</w:t>
      </w:r>
    </w:p>
    <w:p w14:paraId="195EFF10" w14:textId="70CD1B1E" w:rsidR="008A707B" w:rsidRPr="00F07B89" w:rsidRDefault="008A707B" w:rsidP="008A707B">
      <w:pPr>
        <w:jc w:val="both"/>
      </w:pPr>
      <w:r w:rsidRPr="00F07B89">
        <w:t>2</w:t>
      </w:r>
      <w:r w:rsidR="001D302A">
        <w:rPr>
          <w:rFonts w:hint="eastAsia"/>
        </w:rPr>
        <w:t>1</w:t>
      </w:r>
      <w:r w:rsidRPr="00F07B89">
        <w:t>. J.P. Morgan. (1996.12). "</w:t>
      </w:r>
      <w:proofErr w:type="spellStart"/>
      <w:r w:rsidRPr="00F07B89">
        <w:t>RiskMetrics</w:t>
      </w:r>
      <w:proofErr w:type="spellEnd"/>
      <w:r w:rsidRPr="00F07B89">
        <w:t>™—Technical Document, Fourth Edition".</w:t>
      </w:r>
    </w:p>
    <w:p w14:paraId="6C6BCF18" w14:textId="2BBAD325" w:rsidR="008A707B" w:rsidRPr="00F07B89" w:rsidRDefault="008A707B" w:rsidP="008A707B">
      <w:pPr>
        <w:jc w:val="both"/>
      </w:pPr>
      <w:r w:rsidRPr="00F07B89">
        <w:t>2</w:t>
      </w:r>
      <w:r w:rsidR="001D302A">
        <w:rPr>
          <w:rFonts w:hint="eastAsia"/>
        </w:rPr>
        <w:t>2</w:t>
      </w:r>
      <w:r w:rsidRPr="00F07B89">
        <w:t xml:space="preserve">. John C. Cox, Jonathan E. Ingersoll, &amp; Stephen A. Ross. (1985). "A Theory of the Term Structure of Interest Rates". </w:t>
      </w:r>
      <w:proofErr w:type="spellStart"/>
      <w:r w:rsidRPr="00F07B89">
        <w:t>Econometrica</w:t>
      </w:r>
      <w:proofErr w:type="spellEnd"/>
      <w:r w:rsidRPr="00F07B89">
        <w:t>, Vol. 53, No. 2, pp. 385-407.</w:t>
      </w:r>
    </w:p>
    <w:p w14:paraId="6C37627E" w14:textId="5E1C2527" w:rsidR="0030440B" w:rsidRPr="008A707B" w:rsidRDefault="008A707B" w:rsidP="001D302A">
      <w:pPr>
        <w:jc w:val="both"/>
      </w:pPr>
      <w:r w:rsidRPr="00F07B89">
        <w:t>2</w:t>
      </w:r>
      <w:r w:rsidR="001D302A">
        <w:rPr>
          <w:rFonts w:hint="eastAsia"/>
        </w:rPr>
        <w:t>3</w:t>
      </w:r>
      <w:r w:rsidRPr="00F07B89">
        <w:t xml:space="preserve">. </w:t>
      </w:r>
      <w:proofErr w:type="spellStart"/>
      <w:r w:rsidRPr="00F07B89">
        <w:t>Chainlink</w:t>
      </w:r>
      <w:proofErr w:type="spellEnd"/>
      <w:r w:rsidRPr="00F07B89">
        <w:t xml:space="preserve">. "What Is Atomic Settlement? </w:t>
      </w:r>
      <w:proofErr w:type="spellStart"/>
      <w:r w:rsidRPr="00F07B89">
        <w:t>Onchain</w:t>
      </w:r>
      <w:proofErr w:type="spellEnd"/>
      <w:r w:rsidRPr="00F07B89">
        <w:t xml:space="preserve"> DvP Explained".</w:t>
      </w:r>
    </w:p>
    <w:sectPr w:rsidR="0030440B" w:rsidRPr="008A707B">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0B2E3" w14:textId="77777777" w:rsidR="008D5686" w:rsidRDefault="008D5686">
      <w:pPr>
        <w:spacing w:line="240" w:lineRule="auto"/>
      </w:pPr>
      <w:r>
        <w:separator/>
      </w:r>
    </w:p>
  </w:endnote>
  <w:endnote w:type="continuationSeparator" w:id="0">
    <w:p w14:paraId="5E8807F5" w14:textId="77777777" w:rsidR="008D5686" w:rsidRDefault="008D56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76294" w14:textId="19472631" w:rsidR="0030440B" w:rsidRDefault="00605F6E">
    <w:pPr>
      <w:jc w:val="center"/>
    </w:pPr>
    <w:r>
      <w:rPr>
        <w:sz w:val="20"/>
        <w:szCs w:val="20"/>
      </w:rPr>
      <w:fldChar w:fldCharType="begin"/>
    </w:r>
    <w:r>
      <w:rPr>
        <w:sz w:val="20"/>
        <w:szCs w:val="20"/>
      </w:rPr>
      <w:instrText>PAGE</w:instrText>
    </w:r>
    <w:r>
      <w:rPr>
        <w:sz w:val="20"/>
        <w:szCs w:val="20"/>
      </w:rPr>
      <w:fldChar w:fldCharType="separate"/>
    </w:r>
    <w:r w:rsidR="00FF5DA3">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D7592" w14:textId="77777777" w:rsidR="008D5686" w:rsidRDefault="008D5686">
      <w:pPr>
        <w:spacing w:line="240" w:lineRule="auto"/>
      </w:pPr>
      <w:r>
        <w:separator/>
      </w:r>
    </w:p>
  </w:footnote>
  <w:footnote w:type="continuationSeparator" w:id="0">
    <w:p w14:paraId="5117B1C6" w14:textId="77777777" w:rsidR="008D5686" w:rsidRDefault="008D5686">
      <w:pPr>
        <w:spacing w:line="240" w:lineRule="auto"/>
      </w:pPr>
      <w:r>
        <w:continuationSeparator/>
      </w:r>
    </w:p>
  </w:footnote>
  <w:footnote w:id="1">
    <w:p w14:paraId="24358D16" w14:textId="5FAC8D9F" w:rsidR="00083C91" w:rsidRPr="00477157" w:rsidRDefault="00083C91">
      <w:pPr>
        <w:pStyle w:val="a7"/>
      </w:pPr>
      <w:r w:rsidRPr="00477157">
        <w:rPr>
          <w:rStyle w:val="a6"/>
        </w:rPr>
        <w:footnoteRef/>
      </w:r>
      <w:r w:rsidRPr="00477157">
        <w:t xml:space="preserve"> </w:t>
      </w:r>
      <w:r w:rsidR="00477157" w:rsidRPr="00477157">
        <w:t>SIFMA. (2024). "US Treasury Central Clearing – Industry Considerations Report".</w:t>
      </w:r>
    </w:p>
  </w:footnote>
  <w:footnote w:id="2">
    <w:p w14:paraId="7FA359A6" w14:textId="74836FB5" w:rsidR="00E172E2" w:rsidRPr="00477157" w:rsidRDefault="00E172E2">
      <w:pPr>
        <w:pStyle w:val="a7"/>
      </w:pPr>
      <w:r w:rsidRPr="00477157">
        <w:rPr>
          <w:rStyle w:val="a6"/>
        </w:rPr>
        <w:footnoteRef/>
      </w:r>
      <w:r w:rsidRPr="00477157">
        <w:t xml:space="preserve"> </w:t>
      </w:r>
      <w:r w:rsidR="00477157" w:rsidRPr="00477157">
        <w:rPr>
          <w:rFonts w:hint="eastAsia"/>
        </w:rPr>
        <w:t>연합뉴스</w:t>
      </w:r>
      <w:r w:rsidR="00477157" w:rsidRPr="00477157">
        <w:t>. (2025.01.12). "한은, 계엄 후 RP 매입에 47.6조…팬데믹 때 연간 총액보다 많아".</w:t>
      </w:r>
    </w:p>
  </w:footnote>
  <w:footnote w:id="3">
    <w:p w14:paraId="318E8B65" w14:textId="65BD9134" w:rsidR="00D46A8C" w:rsidRDefault="00D46A8C">
      <w:pPr>
        <w:pStyle w:val="a7"/>
      </w:pPr>
      <w:r w:rsidRPr="00477157">
        <w:rPr>
          <w:rStyle w:val="a6"/>
        </w:rPr>
        <w:footnoteRef/>
      </w:r>
      <w:r w:rsidRPr="00477157">
        <w:t xml:space="preserve"> </w:t>
      </w:r>
      <w:r w:rsidR="00477157" w:rsidRPr="00477157">
        <w:t>Broadridge Financial Solutions, Inc. (2025.12.04). "Broadridge's Distributed Ledger Repo Platform Processes $368 Billion in Average Daily Trade Volumes in November".</w:t>
      </w:r>
    </w:p>
  </w:footnote>
  <w:footnote w:id="4">
    <w:p w14:paraId="5AE59FA6" w14:textId="1AFD0904" w:rsidR="00AE0EB9" w:rsidRDefault="00AE0EB9">
      <w:pPr>
        <w:pStyle w:val="a7"/>
      </w:pPr>
      <w:r>
        <w:rPr>
          <w:rStyle w:val="a6"/>
        </w:rPr>
        <w:footnoteRef/>
      </w:r>
      <w:r>
        <w:t xml:space="preserve"> </w:t>
      </w:r>
      <w:r w:rsidR="00477157" w:rsidRPr="00477157">
        <w:t>J.P. Morgan. (1996.12). "</w:t>
      </w:r>
      <w:proofErr w:type="spellStart"/>
      <w:r w:rsidR="00477157" w:rsidRPr="00477157">
        <w:t>RiskMetrics</w:t>
      </w:r>
      <w:proofErr w:type="spellEnd"/>
      <w:r w:rsidR="00477157" w:rsidRPr="00477157">
        <w:t>™—Technical Document, Fourth Edition".</w:t>
      </w:r>
    </w:p>
  </w:footnote>
  <w:footnote w:id="5">
    <w:p w14:paraId="7445E853" w14:textId="4EA58160" w:rsidR="00CC748F" w:rsidRDefault="00CC748F">
      <w:pPr>
        <w:pStyle w:val="a7"/>
      </w:pPr>
      <w:r>
        <w:rPr>
          <w:rStyle w:val="a6"/>
        </w:rPr>
        <w:footnoteRef/>
      </w:r>
      <w:r>
        <w:t xml:space="preserve"> </w:t>
      </w:r>
      <w:r w:rsidR="00477157" w:rsidRPr="00477157">
        <w:t>Biliana Alexandrova-</w:t>
      </w:r>
      <w:proofErr w:type="spellStart"/>
      <w:r w:rsidR="00477157" w:rsidRPr="00477157">
        <w:t>Kabadjova</w:t>
      </w:r>
      <w:proofErr w:type="spellEnd"/>
      <w:r w:rsidR="00477157" w:rsidRPr="00477157">
        <w:t xml:space="preserve"> et al. (2023.04). "Intraday liquidity around the world". BIS Working Papers No 1089.</w:t>
      </w:r>
    </w:p>
  </w:footnote>
  <w:footnote w:id="6">
    <w:p w14:paraId="09C3C308" w14:textId="63290407" w:rsidR="00BE7F2B" w:rsidRDefault="00BE7F2B">
      <w:pPr>
        <w:pStyle w:val="a7"/>
      </w:pPr>
      <w:r>
        <w:rPr>
          <w:rStyle w:val="a6"/>
        </w:rPr>
        <w:footnoteRef/>
      </w:r>
      <w:r>
        <w:t xml:space="preserve"> </w:t>
      </w:r>
      <w:r w:rsidR="00477157" w:rsidRPr="00477157">
        <w:t>SEC Division of Trading and Markets. (2025.12.11). "No-Action Letter to DTCC (Brian Steele 등)".</w:t>
      </w:r>
    </w:p>
  </w:footnote>
  <w:footnote w:id="7">
    <w:p w14:paraId="5A37E553" w14:textId="5AE33B45" w:rsidR="002755D5" w:rsidRDefault="002755D5">
      <w:pPr>
        <w:pStyle w:val="a7"/>
      </w:pPr>
      <w:r>
        <w:rPr>
          <w:rStyle w:val="a6"/>
        </w:rPr>
        <w:footnoteRef/>
      </w:r>
      <w:r>
        <w:t xml:space="preserve"> </w:t>
      </w:r>
      <w:r w:rsidR="00477157" w:rsidRPr="00477157">
        <w:t>Darrell Duffie. (2020.08). "Resilience redux: The Treasury market in the COVID-19 crisis". Jackson Hole Economic Symposium.</w:t>
      </w:r>
    </w:p>
  </w:footnote>
  <w:footnote w:id="8">
    <w:p w14:paraId="28CEDB5C" w14:textId="0E205C19" w:rsidR="000D738F" w:rsidRDefault="000D738F">
      <w:pPr>
        <w:pStyle w:val="a7"/>
      </w:pPr>
      <w:r>
        <w:rPr>
          <w:rStyle w:val="a6"/>
        </w:rPr>
        <w:footnoteRef/>
      </w:r>
      <w:r>
        <w:t xml:space="preserve"> </w:t>
      </w:r>
      <w:r w:rsidR="00477157" w:rsidRPr="00477157">
        <w:t>Biliana Alexandrova-</w:t>
      </w:r>
      <w:proofErr w:type="spellStart"/>
      <w:r w:rsidR="00477157" w:rsidRPr="00477157">
        <w:t>Kabadjova</w:t>
      </w:r>
      <w:proofErr w:type="spellEnd"/>
      <w:r w:rsidR="00477157" w:rsidRPr="00477157">
        <w:t xml:space="preserve"> et al. (2023.04). "Intraday liquidity around the world". BIS Working Papers No 1089.</w:t>
      </w:r>
    </w:p>
  </w:footnote>
  <w:footnote w:id="9">
    <w:p w14:paraId="0E6A454F" w14:textId="22347F12" w:rsidR="00247682" w:rsidRPr="00ED14E4" w:rsidRDefault="00247682">
      <w:pPr>
        <w:pStyle w:val="a7"/>
      </w:pPr>
      <w:r w:rsidRPr="00ED14E4">
        <w:rPr>
          <w:rStyle w:val="a6"/>
        </w:rPr>
        <w:footnoteRef/>
      </w:r>
      <w:r w:rsidRPr="00ED14E4">
        <w:t xml:space="preserve"> </w:t>
      </w:r>
      <w:r w:rsidR="00ED14E4" w:rsidRPr="00ED14E4">
        <w:t>Antoinette Schoar, Esen Onur, &amp; Ingrid Werner. (2022.11.07). "What Is Atomic Settlement?". Liberty Street Economics, Federal Reserve Bank of New York.</w:t>
      </w:r>
    </w:p>
  </w:footnote>
  <w:footnote w:id="10">
    <w:p w14:paraId="67C3029F" w14:textId="7A108A78" w:rsidR="007F746D" w:rsidRPr="00ED14E4" w:rsidRDefault="007F746D">
      <w:pPr>
        <w:pStyle w:val="a7"/>
      </w:pPr>
      <w:r w:rsidRPr="00ED14E4">
        <w:rPr>
          <w:rStyle w:val="a6"/>
        </w:rPr>
        <w:footnoteRef/>
      </w:r>
      <w:r w:rsidRPr="00ED14E4">
        <w:t xml:space="preserve"> </w:t>
      </w:r>
      <w:proofErr w:type="spellStart"/>
      <w:r w:rsidR="00ED14E4" w:rsidRPr="00ED14E4">
        <w:t>Chainlink</w:t>
      </w:r>
      <w:proofErr w:type="spellEnd"/>
      <w:r w:rsidR="00ED14E4" w:rsidRPr="00ED14E4">
        <w:t xml:space="preserve">. (2025.06.08). "Realizing the </w:t>
      </w:r>
      <w:proofErr w:type="spellStart"/>
      <w:r w:rsidR="00ED14E4" w:rsidRPr="00ED14E4">
        <w:t>Onchain</w:t>
      </w:r>
      <w:proofErr w:type="spellEnd"/>
      <w:r w:rsidR="00ED14E4" w:rsidRPr="00ED14E4">
        <w:t xml:space="preserve"> Cash Opportunity".</w:t>
      </w:r>
    </w:p>
  </w:footnote>
  <w:footnote w:id="11">
    <w:p w14:paraId="5979395D" w14:textId="56D07901" w:rsidR="00D72809" w:rsidRPr="00ED14E4" w:rsidRDefault="00D72809">
      <w:pPr>
        <w:pStyle w:val="a7"/>
      </w:pPr>
      <w:r w:rsidRPr="00ED14E4">
        <w:rPr>
          <w:rStyle w:val="a6"/>
        </w:rPr>
        <w:footnoteRef/>
      </w:r>
      <w:r w:rsidRPr="00ED14E4">
        <w:t xml:space="preserve"> </w:t>
      </w:r>
      <w:r w:rsidR="00ED14E4" w:rsidRPr="00ED14E4">
        <w:t>GFMA &amp; BCG. (2025.08). "The Impact of Distributed Ledger Technology in Capital Markets".</w:t>
      </w:r>
      <w:r w:rsidRPr="00ED14E4">
        <w:t> </w:t>
      </w:r>
    </w:p>
  </w:footnote>
  <w:footnote w:id="12">
    <w:p w14:paraId="4A260361" w14:textId="404F716D" w:rsidR="00404612" w:rsidRPr="00ED14E4" w:rsidRDefault="00404612">
      <w:pPr>
        <w:pStyle w:val="a7"/>
      </w:pPr>
      <w:r w:rsidRPr="00ED14E4">
        <w:rPr>
          <w:rStyle w:val="a6"/>
        </w:rPr>
        <w:footnoteRef/>
      </w:r>
      <w:r w:rsidRPr="00ED14E4">
        <w:t xml:space="preserve"> </w:t>
      </w:r>
      <w:r w:rsidR="00ED14E4" w:rsidRPr="00ED14E4">
        <w:t>Ledger Insights. (2025.09.10). "Broadridge's DLR approaches $6T monthly"</w:t>
      </w:r>
      <w:r w:rsidR="00ED14E4" w:rsidRPr="00ED14E4">
        <w:rPr>
          <w:rFonts w:hint="eastAsia"/>
        </w:rPr>
        <w:t>.</w:t>
      </w:r>
    </w:p>
  </w:footnote>
  <w:footnote w:id="13">
    <w:p w14:paraId="0D9DEAB9" w14:textId="066610F1" w:rsidR="00504828" w:rsidRPr="00ED14E4" w:rsidRDefault="00504828">
      <w:pPr>
        <w:pStyle w:val="a7"/>
      </w:pPr>
      <w:r w:rsidRPr="00ED14E4">
        <w:rPr>
          <w:rStyle w:val="a6"/>
        </w:rPr>
        <w:footnoteRef/>
      </w:r>
      <w:r w:rsidRPr="00ED14E4">
        <w:t xml:space="preserve"> </w:t>
      </w:r>
      <w:r w:rsidR="00ED14E4" w:rsidRPr="00ED14E4">
        <w:t>Bank of England. (2025.11). "Project Meridian Securities: Final Report".</w:t>
      </w:r>
    </w:p>
  </w:footnote>
  <w:footnote w:id="14">
    <w:p w14:paraId="34BD8206" w14:textId="7C2D3AFE" w:rsidR="00566D4C" w:rsidRDefault="00566D4C">
      <w:pPr>
        <w:pStyle w:val="a7"/>
      </w:pPr>
      <w:r w:rsidRPr="00ED14E4">
        <w:rPr>
          <w:rStyle w:val="a6"/>
        </w:rPr>
        <w:footnoteRef/>
      </w:r>
      <w:r w:rsidRPr="00ED14E4">
        <w:t xml:space="preserve"> </w:t>
      </w:r>
      <w:r w:rsidR="00ED14E4" w:rsidRPr="00ED14E4">
        <w:t>이민혁 외. (2025). "</w:t>
      </w:r>
      <w:proofErr w:type="spellStart"/>
      <w:r w:rsidR="00ED14E4" w:rsidRPr="00ED14E4">
        <w:t>채권토큰의</w:t>
      </w:r>
      <w:proofErr w:type="spellEnd"/>
      <w:r w:rsidR="00ED14E4" w:rsidRPr="00ED14E4">
        <w:t xml:space="preserve"> 경제성 분석". 한국금융공학회.</w:t>
      </w:r>
    </w:p>
  </w:footnote>
  <w:footnote w:id="15">
    <w:p w14:paraId="40BB9F7E" w14:textId="336564CB" w:rsidR="00566D4C" w:rsidRPr="00ED14E4" w:rsidRDefault="00566D4C">
      <w:pPr>
        <w:pStyle w:val="a7"/>
      </w:pPr>
      <w:r w:rsidRPr="00ED14E4">
        <w:rPr>
          <w:rStyle w:val="a6"/>
        </w:rPr>
        <w:footnoteRef/>
      </w:r>
      <w:r w:rsidRPr="00ED14E4">
        <w:t xml:space="preserve"> </w:t>
      </w:r>
      <w:r w:rsidR="00ED14E4" w:rsidRPr="00ED14E4">
        <w:t>Clearstream. (2024-2025). "</w:t>
      </w:r>
      <w:proofErr w:type="spellStart"/>
      <w:r w:rsidR="00ED14E4" w:rsidRPr="00ED14E4">
        <w:t>HQLAx</w:t>
      </w:r>
      <w:proofErr w:type="spellEnd"/>
      <w:r w:rsidR="00ED14E4" w:rsidRPr="00ED14E4">
        <w:t>-Clearstream-Eurex Repo DvP"</w:t>
      </w:r>
      <w:r w:rsidR="00ED14E4" w:rsidRPr="00ED14E4">
        <w:rPr>
          <w:rFonts w:hint="eastAsia"/>
        </w:rPr>
        <w:t>.</w:t>
      </w:r>
    </w:p>
  </w:footnote>
  <w:footnote w:id="16">
    <w:p w14:paraId="2BDD29FA" w14:textId="5142BDCF" w:rsidR="00B1118E" w:rsidRPr="00ED14E4" w:rsidRDefault="00B1118E">
      <w:pPr>
        <w:pStyle w:val="a7"/>
      </w:pPr>
      <w:r w:rsidRPr="00ED14E4">
        <w:rPr>
          <w:rStyle w:val="a6"/>
        </w:rPr>
        <w:footnoteRef/>
      </w:r>
      <w:r w:rsidRPr="00ED14E4">
        <w:t xml:space="preserve"> </w:t>
      </w:r>
      <w:r w:rsidR="00ED14E4" w:rsidRPr="00ED14E4">
        <w:t>J.P. Morgan. (1996.12). "</w:t>
      </w:r>
      <w:proofErr w:type="spellStart"/>
      <w:r w:rsidR="00ED14E4" w:rsidRPr="00ED14E4">
        <w:t>RiskMetrics</w:t>
      </w:r>
      <w:proofErr w:type="spellEnd"/>
      <w:r w:rsidR="00ED14E4" w:rsidRPr="00ED14E4">
        <w:t>™—Technical Document, Fourth Edition".</w:t>
      </w:r>
    </w:p>
  </w:footnote>
  <w:footnote w:id="17">
    <w:p w14:paraId="4B150489" w14:textId="170B4C97" w:rsidR="006166FF" w:rsidRDefault="006166FF">
      <w:pPr>
        <w:pStyle w:val="a7"/>
      </w:pPr>
      <w:r w:rsidRPr="00ED14E4">
        <w:rPr>
          <w:rStyle w:val="a6"/>
        </w:rPr>
        <w:footnoteRef/>
      </w:r>
      <w:r w:rsidRPr="00ED14E4">
        <w:t xml:space="preserve"> </w:t>
      </w:r>
      <w:r w:rsidR="00ED14E4" w:rsidRPr="00ED14E4">
        <w:t xml:space="preserve">John C. Cox, Jonathan E. Ingersoll, &amp; Stephen A. Ross. (1985). "A Theory of the Term Structure of Interest Rates". </w:t>
      </w:r>
      <w:proofErr w:type="spellStart"/>
      <w:r w:rsidR="00ED14E4" w:rsidRPr="00ED14E4">
        <w:t>Econometrica</w:t>
      </w:r>
      <w:proofErr w:type="spellEnd"/>
      <w:r w:rsidR="00ED14E4" w:rsidRPr="00ED14E4">
        <w:t>, Vol. 53, No. 2, pp. 385-4</w:t>
      </w:r>
      <w:r w:rsidR="00ED14E4" w:rsidRPr="00ED14E4">
        <w:rPr>
          <w:rFonts w:hint="eastAsia"/>
        </w:rPr>
        <w:t>07</w:t>
      </w:r>
    </w:p>
  </w:footnote>
  <w:footnote w:id="18">
    <w:p w14:paraId="5E48B4EC" w14:textId="3CD13733" w:rsidR="00566D6F" w:rsidRPr="00ED14E4" w:rsidRDefault="00566D6F">
      <w:pPr>
        <w:pStyle w:val="a7"/>
      </w:pPr>
      <w:r>
        <w:rPr>
          <w:rStyle w:val="a6"/>
        </w:rPr>
        <w:footnoteRef/>
      </w:r>
      <w:r w:rsidR="00ED14E4">
        <w:rPr>
          <w:rFonts w:hint="eastAsia"/>
        </w:rPr>
        <w:t xml:space="preserve"> </w:t>
      </w:r>
      <w:proofErr w:type="spellStart"/>
      <w:r w:rsidR="00ED14E4" w:rsidRPr="00ED14E4">
        <w:t>Chainlink</w:t>
      </w:r>
      <w:proofErr w:type="spellEnd"/>
      <w:r w:rsidR="00ED14E4" w:rsidRPr="00ED14E4">
        <w:t xml:space="preserve">. (2025.06.08). "Realizing the </w:t>
      </w:r>
      <w:proofErr w:type="spellStart"/>
      <w:r w:rsidR="00ED14E4" w:rsidRPr="00ED14E4">
        <w:t>Onchain</w:t>
      </w:r>
      <w:proofErr w:type="spellEnd"/>
      <w:r w:rsidR="00ED14E4" w:rsidRPr="00ED14E4">
        <w:t xml:space="preserve"> Cash Opportunity”</w:t>
      </w:r>
      <w:r w:rsidR="00ED14E4" w:rsidRPr="00ED14E4">
        <w:rPr>
          <w:rFonts w:hint="eastAsia"/>
        </w:rPr>
        <w:t>.</w:t>
      </w:r>
    </w:p>
  </w:footnote>
  <w:footnote w:id="19">
    <w:p w14:paraId="7ABAE04A" w14:textId="6427D030" w:rsidR="00821234" w:rsidRPr="00ED14E4" w:rsidRDefault="00821234">
      <w:pPr>
        <w:pStyle w:val="a7"/>
      </w:pPr>
      <w:r>
        <w:rPr>
          <w:rStyle w:val="a6"/>
        </w:rPr>
        <w:footnoteRef/>
      </w:r>
      <w:r>
        <w:t xml:space="preserve"> </w:t>
      </w:r>
      <w:proofErr w:type="spellStart"/>
      <w:r w:rsidR="00ED14E4" w:rsidRPr="00ED14E4">
        <w:rPr>
          <w:rFonts w:hint="eastAsia"/>
        </w:rPr>
        <w:t>브릿지경제</w:t>
      </w:r>
      <w:proofErr w:type="spellEnd"/>
      <w:r w:rsidR="00ED14E4" w:rsidRPr="00ED14E4">
        <w:t>. (2025.01.15). "지난해 기관간 Repo시장 일평균잔액 209조원…전년比 18.8% 증가".</w:t>
      </w:r>
    </w:p>
  </w:footnote>
  <w:footnote w:id="20">
    <w:p w14:paraId="5FAF8C47" w14:textId="02EFE534" w:rsidR="00771326" w:rsidRPr="00771326" w:rsidRDefault="00771326">
      <w:pPr>
        <w:pStyle w:val="a7"/>
      </w:pPr>
      <w:r w:rsidRPr="00ED14E4">
        <w:rPr>
          <w:rStyle w:val="a6"/>
        </w:rPr>
        <w:footnoteRef/>
      </w:r>
      <w:r w:rsidRPr="00ED14E4">
        <w:t xml:space="preserve"> </w:t>
      </w:r>
      <w:r w:rsidR="00ED14E4" w:rsidRPr="00ED14E4">
        <w:t xml:space="preserve">Basel Committee on Banking Supervision (BCBS). (2023). "CRE22 – </w:t>
      </w:r>
      <w:proofErr w:type="spellStart"/>
      <w:r w:rsidR="00ED14E4" w:rsidRPr="00ED14E4">
        <w:t>Standardised</w:t>
      </w:r>
      <w:proofErr w:type="spellEnd"/>
      <w:r w:rsidR="00ED14E4" w:rsidRPr="00ED14E4">
        <w:t xml:space="preserve"> approach: credit risk mitigation".</w:t>
      </w:r>
    </w:p>
  </w:footnote>
  <w:footnote w:id="21">
    <w:p w14:paraId="6C7B24C8" w14:textId="518E48CC" w:rsidR="001D302A" w:rsidRPr="00ED14E4" w:rsidRDefault="001D302A">
      <w:pPr>
        <w:pStyle w:val="a7"/>
      </w:pPr>
      <w:r w:rsidRPr="00ED14E4">
        <w:rPr>
          <w:rStyle w:val="a6"/>
        </w:rPr>
        <w:footnoteRef/>
      </w:r>
      <w:r w:rsidRPr="00ED14E4">
        <w:t xml:space="preserve"> 국내 주요 은행별 일반현황 공시 자료. (2025). 제주은행·카카오뱅크·케이뱅크·토스뱅크 등 </w:t>
      </w:r>
      <w:r w:rsidRPr="00ED14E4">
        <w:rPr>
          <w:rFonts w:hint="eastAsia"/>
        </w:rPr>
        <w:t xml:space="preserve">18개 </w:t>
      </w:r>
      <w:proofErr w:type="spellStart"/>
      <w:r w:rsidRPr="00ED14E4">
        <w:rPr>
          <w:rFonts w:hint="eastAsia"/>
        </w:rPr>
        <w:t>금융사</w:t>
      </w:r>
      <w:proofErr w:type="spellEnd"/>
      <w:r w:rsidRPr="00ED14E4">
        <w:rPr>
          <w:rFonts w:hint="eastAsia"/>
        </w:rPr>
        <w:t xml:space="preserve"> 2025년 3분기</w:t>
      </w:r>
      <w:r w:rsidRPr="00ED14E4">
        <w:t xml:space="preserve"> </w:t>
      </w:r>
      <w:r w:rsidRPr="00ED14E4">
        <w:rPr>
          <w:rFonts w:hint="eastAsia"/>
        </w:rPr>
        <w:t xml:space="preserve">일반 현황 </w:t>
      </w:r>
      <w:r w:rsidRPr="00ED14E4">
        <w:t>공시 자료 종합</w:t>
      </w:r>
    </w:p>
  </w:footnote>
  <w:footnote w:id="22">
    <w:p w14:paraId="1C09FEF9" w14:textId="67F09C90" w:rsidR="00F039C3" w:rsidRPr="000A5D5A" w:rsidRDefault="00F039C3">
      <w:pPr>
        <w:pStyle w:val="a7"/>
      </w:pPr>
      <w:r w:rsidRPr="00ED14E4">
        <w:rPr>
          <w:rStyle w:val="a6"/>
        </w:rPr>
        <w:footnoteRef/>
      </w:r>
      <w:r w:rsidRPr="00ED14E4">
        <w:t xml:space="preserve"> </w:t>
      </w:r>
      <w:proofErr w:type="spellStart"/>
      <w:r w:rsidR="00ED14E4" w:rsidRPr="00ED14E4">
        <w:t>kofr</w:t>
      </w:r>
      <w:proofErr w:type="spellEnd"/>
      <w:r w:rsidR="00ED14E4" w:rsidRPr="00ED14E4">
        <w:t>. (2026.02.26). "2026년 2월 26일 기준 KOFR".</w:t>
      </w:r>
    </w:p>
  </w:footnote>
  <w:footnote w:id="23">
    <w:p w14:paraId="653AB691" w14:textId="3ADB0181" w:rsidR="00B94903" w:rsidRDefault="00B94903">
      <w:pPr>
        <w:pStyle w:val="a7"/>
      </w:pPr>
    </w:p>
  </w:footnote>
  <w:footnote w:id="24">
    <w:p w14:paraId="6784944C" w14:textId="3627FDDB" w:rsidR="00782743" w:rsidRPr="00ED14E4" w:rsidRDefault="00782743">
      <w:pPr>
        <w:pStyle w:val="a7"/>
      </w:pPr>
      <w:r>
        <w:rPr>
          <w:rStyle w:val="a6"/>
        </w:rPr>
        <w:footnoteRef/>
      </w:r>
      <w:r>
        <w:t xml:space="preserve"> </w:t>
      </w:r>
      <w:r w:rsidR="00ED14E4" w:rsidRPr="00ED14E4">
        <w:t>국가법령정보센터. "자본시장과 금융투자업에 관한 법률 제294조(설립)".</w:t>
      </w:r>
    </w:p>
  </w:footnote>
  <w:footnote w:id="25">
    <w:p w14:paraId="0E6082A1" w14:textId="21DFF25C" w:rsidR="001C0020" w:rsidRDefault="001C0020">
      <w:pPr>
        <w:pStyle w:val="a7"/>
      </w:pPr>
      <w:r>
        <w:rPr>
          <w:rStyle w:val="a6"/>
        </w:rPr>
        <w:footnoteRef/>
      </w:r>
      <w:r>
        <w:t xml:space="preserve"> </w:t>
      </w:r>
      <w:r w:rsidR="00ED14E4" w:rsidRPr="00ED14E4">
        <w:rPr>
          <w:rFonts w:hint="eastAsia"/>
        </w:rPr>
        <w:t>금융위원회</w:t>
      </w:r>
      <w:r w:rsidR="00ED14E4" w:rsidRPr="00ED14E4">
        <w:t>. (2023.02.06). "[보도자료] 토큰 증권(Security Token) 발행·유통 규율체계 정비방안".</w:t>
      </w:r>
    </w:p>
  </w:footnote>
  <w:footnote w:id="26">
    <w:p w14:paraId="1938FF77" w14:textId="091F9862" w:rsidR="00876349" w:rsidRDefault="00876349">
      <w:pPr>
        <w:pStyle w:val="a7"/>
      </w:pPr>
      <w:r>
        <w:rPr>
          <w:rStyle w:val="a6"/>
        </w:rPr>
        <w:footnoteRef/>
      </w:r>
      <w:r>
        <w:t xml:space="preserve"> </w:t>
      </w:r>
      <w:r w:rsidR="00ED14E4" w:rsidRPr="00ED14E4">
        <w:t>Bank for International Settlements (BIS). (2012). "Payment, Clearing and Settlement Systems in Korea". CPMI.</w:t>
      </w:r>
    </w:p>
  </w:footnote>
  <w:footnote w:id="27">
    <w:p w14:paraId="1C3E6827" w14:textId="0F01042D" w:rsidR="00114C2B" w:rsidRPr="00114C2B" w:rsidRDefault="00114C2B">
      <w:pPr>
        <w:pStyle w:val="a7"/>
      </w:pPr>
      <w:r>
        <w:rPr>
          <w:rStyle w:val="a6"/>
        </w:rPr>
        <w:footnoteRef/>
      </w:r>
      <w:r>
        <w:t xml:space="preserve"> </w:t>
      </w:r>
      <w:r w:rsidR="00743512" w:rsidRPr="00743512">
        <w:t>Broadridge Financial Solutions. (2025). "Return on Innovation: Intraday Repo has Arrived on Scale". Whitepaper.</w:t>
      </w:r>
    </w:p>
  </w:footnote>
  <w:footnote w:id="28">
    <w:p w14:paraId="56E97D17" w14:textId="3E680273" w:rsidR="00EB5A50" w:rsidRDefault="00EB5A50">
      <w:pPr>
        <w:pStyle w:val="a7"/>
      </w:pPr>
      <w:r>
        <w:rPr>
          <w:rStyle w:val="a6"/>
        </w:rPr>
        <w:footnoteRef/>
      </w:r>
      <w:r>
        <w:t xml:space="preserve"> </w:t>
      </w:r>
      <w:r w:rsidR="00743512" w:rsidRPr="00743512">
        <w:rPr>
          <w:rFonts w:hint="eastAsia"/>
        </w:rPr>
        <w:t>국가법령정보센터</w:t>
      </w:r>
      <w:r w:rsidR="00743512" w:rsidRPr="00743512">
        <w:t>. "자본시장과 금융투자업에 관한 법률 제294조(설립)".</w:t>
      </w:r>
    </w:p>
  </w:footnote>
  <w:footnote w:id="29">
    <w:p w14:paraId="6FC8B543" w14:textId="53EF1E8F" w:rsidR="0050314A" w:rsidRDefault="0050314A">
      <w:pPr>
        <w:pStyle w:val="a7"/>
      </w:pPr>
      <w:r>
        <w:rPr>
          <w:rStyle w:val="a6"/>
        </w:rPr>
        <w:footnoteRef/>
      </w:r>
      <w:r>
        <w:t xml:space="preserve"> </w:t>
      </w:r>
      <w:r w:rsidR="00743512" w:rsidRPr="00743512">
        <w:rPr>
          <w:rFonts w:hint="eastAsia"/>
        </w:rPr>
        <w:t>국가법령정보센터</w:t>
      </w:r>
      <w:r w:rsidR="00743512" w:rsidRPr="00743512">
        <w:t>. "전자금융거래법 제2조(정의)"</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5898F" w14:textId="514BDF97" w:rsidR="005B6B46" w:rsidRDefault="005B6B46">
    <w:pPr>
      <w:pStyle w:val="aa"/>
    </w:pPr>
    <w:r>
      <w:rPr>
        <w:noProof/>
      </w:rPr>
      <w:drawing>
        <wp:inline distT="0" distB="0" distL="0" distR="0" wp14:anchorId="66CD7440" wp14:editId="4EECD00D">
          <wp:extent cx="4813300" cy="133294"/>
          <wp:effectExtent l="0" t="0" r="0" b="635"/>
          <wp:docPr id="1459521217" name="그림 2" descr="d 1 l DB Insurance &amp; Finance Contest.&#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21217" name="그림 2" descr="d 1 l DB Insurance &amp; Finance Contest.&#10;&#10;AI 생성 콘텐츠는 정확하지 않을 수 있습니다."/>
                  <pic:cNvPicPr/>
                </pic:nvPicPr>
                <pic:blipFill>
                  <a:blip r:embed="rId1">
                    <a:extLst>
                      <a:ext uri="{28A0092B-C50C-407E-A947-70E740481C1C}">
                        <a14:useLocalDpi xmlns:a14="http://schemas.microsoft.com/office/drawing/2010/main" val="0"/>
                      </a:ext>
                    </a:extLst>
                  </a:blip>
                  <a:stretch>
                    <a:fillRect/>
                  </a:stretch>
                </pic:blipFill>
                <pic:spPr>
                  <a:xfrm>
                    <a:off x="0" y="0"/>
                    <a:ext cx="5035913" cy="13945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76293" w14:textId="424202C1" w:rsidR="0030440B" w:rsidRPr="00743512" w:rsidRDefault="00743512" w:rsidP="00743512">
    <w:pPr>
      <w:pStyle w:val="aa"/>
    </w:pPr>
    <w:r>
      <w:rPr>
        <w:noProof/>
      </w:rPr>
      <w:drawing>
        <wp:inline distT="0" distB="0" distL="0" distR="0" wp14:anchorId="797082F2" wp14:editId="6C5C8023">
          <wp:extent cx="4813300" cy="133294"/>
          <wp:effectExtent l="0" t="0" r="0" b="635"/>
          <wp:docPr id="104231531" name="그림 2" descr="d 1 l DB Insurance &amp; Finance Contest.&#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21217" name="그림 2" descr="d 1 l DB Insurance &amp; Finance Contest.&#10;&#10;AI 생성 콘텐츠는 정확하지 않을 수 있습니다."/>
                  <pic:cNvPicPr/>
                </pic:nvPicPr>
                <pic:blipFill>
                  <a:blip r:embed="rId1">
                    <a:extLst>
                      <a:ext uri="{28A0092B-C50C-407E-A947-70E740481C1C}">
                        <a14:useLocalDpi xmlns:a14="http://schemas.microsoft.com/office/drawing/2010/main" val="0"/>
                      </a:ext>
                    </a:extLst>
                  </a:blip>
                  <a:stretch>
                    <a:fillRect/>
                  </a:stretch>
                </pic:blipFill>
                <pic:spPr>
                  <a:xfrm>
                    <a:off x="0" y="0"/>
                    <a:ext cx="5035913" cy="13945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33821"/>
    <w:multiLevelType w:val="hybridMultilevel"/>
    <w:tmpl w:val="0F18824A"/>
    <w:lvl w:ilvl="0" w:tplc="CEF07C90">
      <w:start w:val="1"/>
      <w:numFmt w:val="bullet"/>
      <w:lvlText w:val="●"/>
      <w:lvlJc w:val="left"/>
      <w:pPr>
        <w:ind w:left="720" w:hanging="360"/>
      </w:pPr>
    </w:lvl>
    <w:lvl w:ilvl="1" w:tplc="03E6D518">
      <w:start w:val="1"/>
      <w:numFmt w:val="bullet"/>
      <w:lvlText w:val="○"/>
      <w:lvlJc w:val="left"/>
      <w:pPr>
        <w:ind w:left="1440" w:hanging="360"/>
      </w:pPr>
    </w:lvl>
    <w:lvl w:ilvl="2" w:tplc="992C9C86">
      <w:start w:val="1"/>
      <w:numFmt w:val="bullet"/>
      <w:lvlText w:val="■"/>
      <w:lvlJc w:val="left"/>
      <w:pPr>
        <w:ind w:left="2160" w:hanging="360"/>
      </w:pPr>
    </w:lvl>
    <w:lvl w:ilvl="3" w:tplc="42A2B18E">
      <w:start w:val="1"/>
      <w:numFmt w:val="bullet"/>
      <w:lvlText w:val="●"/>
      <w:lvlJc w:val="left"/>
      <w:pPr>
        <w:ind w:left="2880" w:hanging="360"/>
      </w:pPr>
    </w:lvl>
    <w:lvl w:ilvl="4" w:tplc="1F8A31D6">
      <w:start w:val="1"/>
      <w:numFmt w:val="bullet"/>
      <w:lvlText w:val="○"/>
      <w:lvlJc w:val="left"/>
      <w:pPr>
        <w:ind w:left="3600" w:hanging="360"/>
      </w:pPr>
    </w:lvl>
    <w:lvl w:ilvl="5" w:tplc="420C131E">
      <w:start w:val="1"/>
      <w:numFmt w:val="bullet"/>
      <w:lvlText w:val="■"/>
      <w:lvlJc w:val="left"/>
      <w:pPr>
        <w:ind w:left="4320" w:hanging="360"/>
      </w:pPr>
    </w:lvl>
    <w:lvl w:ilvl="6" w:tplc="C1EAB0B4">
      <w:start w:val="1"/>
      <w:numFmt w:val="bullet"/>
      <w:lvlText w:val="●"/>
      <w:lvlJc w:val="left"/>
      <w:pPr>
        <w:ind w:left="5040" w:hanging="360"/>
      </w:pPr>
    </w:lvl>
    <w:lvl w:ilvl="7" w:tplc="89B43CA4">
      <w:start w:val="1"/>
      <w:numFmt w:val="bullet"/>
      <w:lvlText w:val="●"/>
      <w:lvlJc w:val="left"/>
      <w:pPr>
        <w:ind w:left="5760" w:hanging="360"/>
      </w:pPr>
    </w:lvl>
    <w:lvl w:ilvl="8" w:tplc="C270D218">
      <w:start w:val="1"/>
      <w:numFmt w:val="bullet"/>
      <w:lvlText w:val="●"/>
      <w:lvlJc w:val="left"/>
      <w:pPr>
        <w:ind w:left="6480" w:hanging="360"/>
      </w:pPr>
    </w:lvl>
  </w:abstractNum>
  <w:num w:numId="1" w16cid:durableId="19079511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bordersDoNotSurroundHeader/>
  <w:bordersDoNotSurroundFooter/>
  <w:proofState w:spelling="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40B"/>
    <w:rsid w:val="0000585E"/>
    <w:rsid w:val="00083C91"/>
    <w:rsid w:val="00086AFA"/>
    <w:rsid w:val="000A5D5A"/>
    <w:rsid w:val="000B4AF1"/>
    <w:rsid w:val="000C7655"/>
    <w:rsid w:val="000D738F"/>
    <w:rsid w:val="00100BC1"/>
    <w:rsid w:val="00102576"/>
    <w:rsid w:val="00113B62"/>
    <w:rsid w:val="00114C2B"/>
    <w:rsid w:val="001204D9"/>
    <w:rsid w:val="001943E9"/>
    <w:rsid w:val="001C0020"/>
    <w:rsid w:val="001D302A"/>
    <w:rsid w:val="001F48E7"/>
    <w:rsid w:val="002120EF"/>
    <w:rsid w:val="00212FA5"/>
    <w:rsid w:val="00223867"/>
    <w:rsid w:val="00224B05"/>
    <w:rsid w:val="0023313B"/>
    <w:rsid w:val="00247682"/>
    <w:rsid w:val="00257C9F"/>
    <w:rsid w:val="002755D5"/>
    <w:rsid w:val="00290723"/>
    <w:rsid w:val="002A47FE"/>
    <w:rsid w:val="002A6CDD"/>
    <w:rsid w:val="002B1A08"/>
    <w:rsid w:val="002B2753"/>
    <w:rsid w:val="002B5095"/>
    <w:rsid w:val="002E7573"/>
    <w:rsid w:val="002F5A62"/>
    <w:rsid w:val="0030440B"/>
    <w:rsid w:val="00360CF5"/>
    <w:rsid w:val="00365FA0"/>
    <w:rsid w:val="003B18B8"/>
    <w:rsid w:val="003B3099"/>
    <w:rsid w:val="003C7AD0"/>
    <w:rsid w:val="003E4148"/>
    <w:rsid w:val="00400F46"/>
    <w:rsid w:val="00404612"/>
    <w:rsid w:val="00477157"/>
    <w:rsid w:val="004A1219"/>
    <w:rsid w:val="004A1400"/>
    <w:rsid w:val="004B2D95"/>
    <w:rsid w:val="004E62D0"/>
    <w:rsid w:val="004E7E41"/>
    <w:rsid w:val="00502BBE"/>
    <w:rsid w:val="0050314A"/>
    <w:rsid w:val="00504828"/>
    <w:rsid w:val="00525AD3"/>
    <w:rsid w:val="00542824"/>
    <w:rsid w:val="00551D84"/>
    <w:rsid w:val="00566D4C"/>
    <w:rsid w:val="00566D6F"/>
    <w:rsid w:val="00573F12"/>
    <w:rsid w:val="00594C46"/>
    <w:rsid w:val="005A665A"/>
    <w:rsid w:val="005B6B46"/>
    <w:rsid w:val="005D0301"/>
    <w:rsid w:val="00603FAD"/>
    <w:rsid w:val="00605F6E"/>
    <w:rsid w:val="006112B3"/>
    <w:rsid w:val="006166FF"/>
    <w:rsid w:val="0062405F"/>
    <w:rsid w:val="0064175F"/>
    <w:rsid w:val="00642326"/>
    <w:rsid w:val="00646A7A"/>
    <w:rsid w:val="00680EF0"/>
    <w:rsid w:val="006A0EF7"/>
    <w:rsid w:val="006A35CA"/>
    <w:rsid w:val="006A4F6B"/>
    <w:rsid w:val="006B7714"/>
    <w:rsid w:val="006F4FF2"/>
    <w:rsid w:val="0070219E"/>
    <w:rsid w:val="00710341"/>
    <w:rsid w:val="0072510A"/>
    <w:rsid w:val="00743512"/>
    <w:rsid w:val="0075011E"/>
    <w:rsid w:val="00751BC8"/>
    <w:rsid w:val="00754223"/>
    <w:rsid w:val="00771326"/>
    <w:rsid w:val="00781596"/>
    <w:rsid w:val="00782743"/>
    <w:rsid w:val="00794BA7"/>
    <w:rsid w:val="007962FB"/>
    <w:rsid w:val="007D56DA"/>
    <w:rsid w:val="007F5247"/>
    <w:rsid w:val="007F746D"/>
    <w:rsid w:val="00821234"/>
    <w:rsid w:val="00876349"/>
    <w:rsid w:val="00880873"/>
    <w:rsid w:val="008A707B"/>
    <w:rsid w:val="008D5686"/>
    <w:rsid w:val="00900B7D"/>
    <w:rsid w:val="0096574B"/>
    <w:rsid w:val="00971CAF"/>
    <w:rsid w:val="009D2B72"/>
    <w:rsid w:val="009E3C22"/>
    <w:rsid w:val="009E774E"/>
    <w:rsid w:val="009F1B87"/>
    <w:rsid w:val="00A203DF"/>
    <w:rsid w:val="00A42E45"/>
    <w:rsid w:val="00A7040A"/>
    <w:rsid w:val="00A83BF0"/>
    <w:rsid w:val="00AD3658"/>
    <w:rsid w:val="00AD52A9"/>
    <w:rsid w:val="00AE0EB9"/>
    <w:rsid w:val="00AE2370"/>
    <w:rsid w:val="00AF7109"/>
    <w:rsid w:val="00B0355B"/>
    <w:rsid w:val="00B06EFF"/>
    <w:rsid w:val="00B0756D"/>
    <w:rsid w:val="00B1118E"/>
    <w:rsid w:val="00B51EE6"/>
    <w:rsid w:val="00B74A07"/>
    <w:rsid w:val="00B75103"/>
    <w:rsid w:val="00B83904"/>
    <w:rsid w:val="00B94903"/>
    <w:rsid w:val="00BD71D2"/>
    <w:rsid w:val="00BE7F2B"/>
    <w:rsid w:val="00BF068A"/>
    <w:rsid w:val="00C624EC"/>
    <w:rsid w:val="00C71618"/>
    <w:rsid w:val="00CC748F"/>
    <w:rsid w:val="00D220CD"/>
    <w:rsid w:val="00D3388A"/>
    <w:rsid w:val="00D41E0D"/>
    <w:rsid w:val="00D44227"/>
    <w:rsid w:val="00D46A8C"/>
    <w:rsid w:val="00D5317F"/>
    <w:rsid w:val="00D53C5C"/>
    <w:rsid w:val="00D72809"/>
    <w:rsid w:val="00D95597"/>
    <w:rsid w:val="00DB02BD"/>
    <w:rsid w:val="00DC24A5"/>
    <w:rsid w:val="00DD22EA"/>
    <w:rsid w:val="00DE4628"/>
    <w:rsid w:val="00E172E2"/>
    <w:rsid w:val="00E244AD"/>
    <w:rsid w:val="00E5245B"/>
    <w:rsid w:val="00E566BA"/>
    <w:rsid w:val="00E56EAE"/>
    <w:rsid w:val="00E60235"/>
    <w:rsid w:val="00E93433"/>
    <w:rsid w:val="00EB5A50"/>
    <w:rsid w:val="00EC0304"/>
    <w:rsid w:val="00EC258C"/>
    <w:rsid w:val="00EC2ABE"/>
    <w:rsid w:val="00ED14E4"/>
    <w:rsid w:val="00ED42B9"/>
    <w:rsid w:val="00EE7B33"/>
    <w:rsid w:val="00F033B9"/>
    <w:rsid w:val="00F039C3"/>
    <w:rsid w:val="00F76D21"/>
    <w:rsid w:val="00F80BEC"/>
    <w:rsid w:val="00F82C1B"/>
    <w:rsid w:val="00FB08A8"/>
    <w:rsid w:val="00FC0404"/>
    <w:rsid w:val="00FE1470"/>
    <w:rsid w:val="00FF5DA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375FCF"/>
  <w15:docId w15:val="{F73199C3-4190-4283-A2BF-97D2DADC4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바탕체"/>
        <w:sz w:val="24"/>
        <w:szCs w:val="24"/>
        <w:lang w:val="en-US" w:eastAsia="ko-K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link w:val="1Char"/>
    <w:uiPriority w:val="9"/>
    <w:qFormat/>
    <w:pPr>
      <w:spacing w:before="240" w:after="200"/>
      <w:outlineLvl w:val="0"/>
    </w:pPr>
    <w:rPr>
      <w:b/>
      <w:bCs/>
      <w:sz w:val="28"/>
      <w:szCs w:val="28"/>
    </w:rPr>
  </w:style>
  <w:style w:type="paragraph" w:styleId="2">
    <w:name w:val="heading 2"/>
    <w:uiPriority w:val="9"/>
    <w:unhideWhenUsed/>
    <w:qFormat/>
    <w:pPr>
      <w:spacing w:before="200" w:after="160"/>
      <w:outlineLvl w:val="1"/>
    </w:pPr>
    <w:rPr>
      <w:b/>
      <w:bCs/>
      <w:sz w:val="26"/>
      <w:szCs w:val="26"/>
    </w:rPr>
  </w:style>
  <w:style w:type="paragraph" w:styleId="3">
    <w:name w:val="heading 3"/>
    <w:uiPriority w:val="9"/>
    <w:unhideWhenUsed/>
    <w:qFormat/>
    <w:pPr>
      <w:spacing w:before="160" w:after="12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line="240" w:lineRule="auto"/>
    </w:pPr>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line="240" w:lineRule="auto"/>
    </w:pPr>
    <w:rPr>
      <w:sz w:val="20"/>
      <w:szCs w:val="20"/>
    </w:rPr>
  </w:style>
  <w:style w:type="character" w:customStyle="1" w:styleId="Char0">
    <w:name w:val="미주 텍스트 Char"/>
    <w:link w:val="a9"/>
    <w:uiPriority w:val="99"/>
    <w:semiHidden/>
    <w:unhideWhenUsed/>
    <w:rPr>
      <w:sz w:val="20"/>
      <w:szCs w:val="20"/>
    </w:rPr>
  </w:style>
  <w:style w:type="paragraph" w:styleId="11">
    <w:name w:val="toc 1"/>
    <w:basedOn w:val="a"/>
    <w:next w:val="a"/>
    <w:autoRedefine/>
    <w:uiPriority w:val="39"/>
    <w:unhideWhenUsed/>
    <w:rsid w:val="00FF5DA3"/>
  </w:style>
  <w:style w:type="paragraph" w:styleId="20">
    <w:name w:val="toc 2"/>
    <w:basedOn w:val="a"/>
    <w:next w:val="a"/>
    <w:autoRedefine/>
    <w:uiPriority w:val="39"/>
    <w:unhideWhenUsed/>
    <w:rsid w:val="00FF5DA3"/>
    <w:pPr>
      <w:ind w:leftChars="200" w:left="425"/>
    </w:pPr>
  </w:style>
  <w:style w:type="paragraph" w:styleId="30">
    <w:name w:val="toc 3"/>
    <w:basedOn w:val="a"/>
    <w:next w:val="a"/>
    <w:autoRedefine/>
    <w:uiPriority w:val="39"/>
    <w:unhideWhenUsed/>
    <w:rsid w:val="00FF5DA3"/>
    <w:pPr>
      <w:ind w:leftChars="400" w:left="850"/>
    </w:pPr>
  </w:style>
  <w:style w:type="paragraph" w:styleId="aa">
    <w:name w:val="header"/>
    <w:basedOn w:val="a"/>
    <w:link w:val="Char1"/>
    <w:uiPriority w:val="99"/>
    <w:unhideWhenUsed/>
    <w:rsid w:val="00FF5DA3"/>
    <w:pPr>
      <w:tabs>
        <w:tab w:val="center" w:pos="4513"/>
        <w:tab w:val="right" w:pos="9026"/>
      </w:tabs>
      <w:snapToGrid w:val="0"/>
    </w:pPr>
  </w:style>
  <w:style w:type="character" w:customStyle="1" w:styleId="Char1">
    <w:name w:val="머리글 Char"/>
    <w:basedOn w:val="a0"/>
    <w:link w:val="aa"/>
    <w:uiPriority w:val="99"/>
    <w:rsid w:val="00FF5DA3"/>
  </w:style>
  <w:style w:type="paragraph" w:styleId="ab">
    <w:name w:val="footer"/>
    <w:basedOn w:val="a"/>
    <w:link w:val="Char2"/>
    <w:uiPriority w:val="99"/>
    <w:unhideWhenUsed/>
    <w:rsid w:val="00FF5DA3"/>
    <w:pPr>
      <w:tabs>
        <w:tab w:val="center" w:pos="4513"/>
        <w:tab w:val="right" w:pos="9026"/>
      </w:tabs>
      <w:snapToGrid w:val="0"/>
    </w:pPr>
  </w:style>
  <w:style w:type="character" w:customStyle="1" w:styleId="Char2">
    <w:name w:val="바닥글 Char"/>
    <w:basedOn w:val="a0"/>
    <w:link w:val="ab"/>
    <w:uiPriority w:val="99"/>
    <w:rsid w:val="00FF5DA3"/>
  </w:style>
  <w:style w:type="character" w:customStyle="1" w:styleId="1Char">
    <w:name w:val="제목 1 Char"/>
    <w:basedOn w:val="a0"/>
    <w:link w:val="1"/>
    <w:uiPriority w:val="9"/>
    <w:rsid w:val="008A707B"/>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F21841-D596-4767-9CC1-1937079FA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30</Pages>
  <Words>4613</Words>
  <Characters>18134</Characters>
  <Application>Microsoft Office Word</Application>
  <DocSecurity>0</DocSecurity>
  <Lines>725</Lines>
  <Paragraphs>366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조진우</cp:lastModifiedBy>
  <cp:revision>4</cp:revision>
  <cp:lastPrinted>2026-02-27T14:38:00Z</cp:lastPrinted>
  <dcterms:created xsi:type="dcterms:W3CDTF">2026-02-27T14:57:00Z</dcterms:created>
  <dcterms:modified xsi:type="dcterms:W3CDTF">2026-02-27T14:58:00Z</dcterms:modified>
</cp:coreProperties>
</file>