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sz w:val="36"/>
          <w:szCs w:val="36"/>
          <w:lang w:eastAsia="zh-CN"/>
        </w:rPr>
        <w:t>数据格式说明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T1(ENDDEVICE，终端)每两秒钟通过G1（COORDINATOR，协调器）向服务器发送一帧数据，其格式为：</w:t>
      </w:r>
    </w:p>
    <w:p>
      <w:pPr>
        <w:ind w:firstLine="420" w:firstLineChars="0"/>
        <w:rPr>
          <w:rFonts w:hint="eastAsia"/>
          <w:sz w:val="24"/>
          <w:szCs w:val="22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Consolas"/>
          <w:color w:val="A31515"/>
          <w:sz w:val="21"/>
          <w:szCs w:val="22"/>
          <w:highlight w:val="white"/>
          <w:lang w:val="zh-CN"/>
        </w:rPr>
      </w:pPr>
      <w:r>
        <w:rPr>
          <w:rFonts w:hint="eastAsia" w:ascii="Consolas" w:hAnsi="Consolas" w:eastAsia="Consolas"/>
          <w:color w:val="A31515"/>
          <w:sz w:val="21"/>
          <w:szCs w:val="22"/>
          <w:highlight w:val="white"/>
          <w:lang w:val="zh-CN"/>
        </w:rPr>
        <w:t>POST /power/data HTTP/1.1</w:t>
      </w:r>
    </w:p>
    <w:p>
      <w:pPr>
        <w:ind w:firstLine="420" w:firstLineChars="0"/>
        <w:rPr>
          <w:rFonts w:hint="eastAsia" w:ascii="Consolas" w:hAnsi="Consolas" w:eastAsia="Consolas"/>
          <w:color w:val="A31515"/>
          <w:sz w:val="21"/>
          <w:szCs w:val="22"/>
          <w:highlight w:val="white"/>
          <w:lang w:val="zh-CN"/>
        </w:rPr>
      </w:pPr>
      <w:r>
        <w:rPr>
          <w:rFonts w:hint="eastAsia" w:ascii="Consolas" w:hAnsi="Consolas" w:eastAsia="Consolas"/>
          <w:color w:val="A31515"/>
          <w:sz w:val="21"/>
          <w:szCs w:val="22"/>
          <w:highlight w:val="white"/>
          <w:lang w:val="zh-CN"/>
        </w:rPr>
        <w:t>Host:abc:9090</w:t>
      </w:r>
    </w:p>
    <w:p>
      <w:pPr>
        <w:ind w:firstLine="420" w:firstLineChars="0"/>
        <w:rPr>
          <w:rFonts w:hint="eastAsia" w:ascii="Consolas" w:hAnsi="Consolas" w:eastAsia="Consolas"/>
          <w:color w:val="A31515"/>
          <w:sz w:val="21"/>
          <w:szCs w:val="22"/>
          <w:highlight w:val="white"/>
          <w:lang w:val="zh-CN"/>
        </w:rPr>
      </w:pPr>
      <w:r>
        <w:rPr>
          <w:rFonts w:hint="eastAsia" w:ascii="Consolas" w:hAnsi="Consolas" w:eastAsia="Consolas"/>
          <w:color w:val="A31515"/>
          <w:sz w:val="21"/>
          <w:szCs w:val="22"/>
          <w:highlight w:val="white"/>
          <w:lang w:val="zh-CN"/>
        </w:rPr>
        <w:t>Content-Type:application/x-www-form-urlencoded</w:t>
      </w:r>
    </w:p>
    <w:p>
      <w:pPr>
        <w:ind w:firstLine="420" w:firstLineChars="0"/>
        <w:rPr>
          <w:rFonts w:hint="eastAsia" w:ascii="Consolas" w:hAnsi="Consolas" w:eastAsia="Consolas"/>
          <w:color w:val="A31515"/>
          <w:sz w:val="21"/>
          <w:szCs w:val="22"/>
          <w:highlight w:val="white"/>
          <w:lang w:val="zh-CN"/>
        </w:rPr>
      </w:pPr>
      <w:r>
        <w:rPr>
          <w:rFonts w:hint="eastAsia" w:ascii="Consolas" w:hAnsi="Consolas" w:eastAsia="Consolas"/>
          <w:color w:val="A31515"/>
          <w:sz w:val="21"/>
          <w:szCs w:val="22"/>
          <w:highlight w:val="white"/>
          <w:lang w:val="zh-CN"/>
        </w:rPr>
        <w:t>Content-Length:</w:t>
      </w:r>
      <w:r>
        <w:rPr>
          <w:rFonts w:hint="eastAsia" w:ascii="Consolas" w:hAnsi="Consolas" w:eastAsia="Consolas"/>
          <w:color w:val="A31515"/>
          <w:sz w:val="21"/>
          <w:szCs w:val="22"/>
          <w:highlight w:val="white"/>
          <w:lang w:val="en-US" w:eastAsia="zh-CN"/>
        </w:rPr>
        <w:t>110</w:t>
      </w:r>
    </w:p>
    <w:p>
      <w:pPr>
        <w:widowControl w:val="0"/>
        <w:autoSpaceDE w:val="0"/>
        <w:autoSpaceDN w:val="0"/>
        <w:rPr>
          <w:rFonts w:hint="eastAsia" w:ascii="宋体" w:hAnsi="宋体" w:eastAsia="宋体"/>
          <w:sz w:val="21"/>
          <w:szCs w:val="22"/>
          <w:lang w:val="zh-CN"/>
        </w:rPr>
      </w:pPr>
    </w:p>
    <w:p>
      <w:pPr>
        <w:ind w:firstLine="420" w:firstLineChars="0"/>
        <w:rPr>
          <w:rFonts w:hint="eastAsia" w:ascii="宋体" w:hAnsi="宋体"/>
          <w:sz w:val="21"/>
          <w:szCs w:val="22"/>
          <w:lang w:val="en-US" w:eastAsia="zh-CN"/>
        </w:rPr>
      </w:pPr>
      <w:r>
        <w:rPr>
          <w:rFonts w:hint="eastAsia" w:ascii="Consolas" w:hAnsi="Consolas" w:eastAsia="Consolas"/>
          <w:color w:val="A31515"/>
          <w:sz w:val="21"/>
          <w:szCs w:val="22"/>
          <w:highlight w:val="white"/>
        </w:rPr>
        <w:t>tag=EE&amp;len=52&amp;type=01&amp;g1sn=004B1200CB4CA603&amp;sn=0000000000000014&amp;time=00010AC7&amp;ad1=0017&amp;ad2=0017&amp;live=01&amp;crc=01</w:t>
      </w:r>
    </w:p>
    <w:p>
      <w:pPr>
        <w:rPr>
          <w:rFonts w:hint="eastAsia"/>
          <w:sz w:val="24"/>
          <w:szCs w:val="22"/>
          <w:lang w:val="en-US" w:eastAsia="zh-CN"/>
        </w:rPr>
      </w:pPr>
    </w:p>
    <w:tbl>
      <w:tblPr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359"/>
        <w:gridCol w:w="71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tag</w:t>
            </w:r>
          </w:p>
        </w:tc>
        <w:tc>
          <w:tcPr>
            <w:tcW w:w="7163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表示数据头，固定为 0xEE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59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len</w:t>
            </w:r>
          </w:p>
        </w:tc>
        <w:tc>
          <w:tcPr>
            <w:tcW w:w="7163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用于校验接收数据的长度，工作电压数据上报中，其值为以下各字段长度相加，其值为以下各字段长度相加：</w:t>
            </w:r>
          </w:p>
        </w:tc>
      </w:tr>
    </w:tbl>
    <w:p>
      <w:pPr>
        <w:ind w:firstLine="420" w:firstLineChars="0"/>
        <w:rPr>
          <w:rFonts w:hint="eastAsia"/>
          <w:sz w:val="24"/>
          <w:szCs w:val="22"/>
          <w:lang w:val="en-US" w:eastAsia="zh-CN"/>
        </w:rPr>
      </w:pPr>
    </w:p>
    <w:tbl>
      <w:tblPr>
        <w:tblW w:w="8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type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g1sn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sn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time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ad1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ad2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live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16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16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8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4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52</w:t>
            </w:r>
          </w:p>
        </w:tc>
      </w:tr>
    </w:tbl>
    <w:p>
      <w:pPr>
        <w:ind w:firstLine="420" w:firstLineChars="0"/>
        <w:rPr>
          <w:rFonts w:hint="eastAsia"/>
          <w:sz w:val="24"/>
          <w:szCs w:val="22"/>
          <w:lang w:val="en-US" w:eastAsia="zh-CN"/>
        </w:rPr>
      </w:pPr>
    </w:p>
    <w:tbl>
      <w:tblPr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359"/>
        <w:gridCol w:w="71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type</w:t>
            </w:r>
          </w:p>
        </w:tc>
        <w:tc>
          <w:tcPr>
            <w:tcW w:w="7163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数据类型，工作电压数据上报的类型为 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g1sn</w:t>
            </w:r>
          </w:p>
        </w:tc>
        <w:tc>
          <w:tcPr>
            <w:tcW w:w="7163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G1的序列号，代表此数据帧从哪个G1发送过来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sn</w:t>
            </w:r>
          </w:p>
        </w:tc>
        <w:tc>
          <w:tcPr>
            <w:tcW w:w="7163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T1的序列号，代表此数据帧由哪个T1发送过来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time</w:t>
            </w:r>
          </w:p>
        </w:tc>
        <w:tc>
          <w:tcPr>
            <w:tcW w:w="7163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代表数据采集时，T1第一次开机到现在的时间，单位为ms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ad1</w:t>
            </w:r>
          </w:p>
        </w:tc>
        <w:tc>
          <w:tcPr>
            <w:tcW w:w="7163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A路数据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ad2</w:t>
            </w:r>
          </w:p>
        </w:tc>
        <w:tc>
          <w:tcPr>
            <w:tcW w:w="7163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B路数据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live</w:t>
            </w:r>
          </w:p>
        </w:tc>
        <w:tc>
          <w:tcPr>
            <w:tcW w:w="7163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0-此数据为缓存数据  1-此数据为实时数据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crc</w:t>
            </w:r>
          </w:p>
        </w:tc>
        <w:tc>
          <w:tcPr>
            <w:tcW w:w="7163" w:type="dxa"/>
          </w:tcPr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校验位，目前采用奇偶校验，为以下字段</w:t>
            </w:r>
          </w:p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 xml:space="preserve">type + g1sn + sn + time + ad1 + ad2 + live </w:t>
            </w:r>
          </w:p>
          <w:p>
            <w:pPr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的值中二进制代码的数位中“1”的个数是奇数或偶数，00：偶数，01：奇数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知拓</dc:creator>
  <cp:lastModifiedBy>知拓</cp:lastModifiedBy>
  <dcterms:modified xsi:type="dcterms:W3CDTF">2014-05-05T14:30:29Z</dcterms:modified>
  <dc:title>数据格式说明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