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D2B4E"/>
    <w:p w14:paraId="4E9B8008"/>
    <w:p w14:paraId="182D8219">
      <w:pPr>
        <w:spacing w:before="480" w:after="480" w:line="288" w:lineRule="auto"/>
        <w:ind w:left="0"/>
        <w:jc w:val="center"/>
        <w:outlineLvl w:val="0"/>
        <w:rPr>
          <w:rFonts w:ascii="Arial" w:hAnsi="Arial" w:eastAsia="等线" w:cs="Arial"/>
          <w:b/>
          <w:sz w:val="52"/>
        </w:rPr>
      </w:pPr>
      <w:bookmarkStart w:id="0" w:name="_Toc3023"/>
      <w:r>
        <w:rPr>
          <w:rFonts w:ascii="Arial" w:hAnsi="Arial" w:eastAsia="等线" w:cs="Arial"/>
          <w:b/>
          <w:sz w:val="52"/>
        </w:rPr>
        <w:t>太乙交易平台V</w:t>
      </w:r>
      <w:r>
        <w:rPr>
          <w:rFonts w:hint="eastAsia" w:ascii="Arial" w:hAnsi="Arial" w:eastAsia="等线" w:cs="Arial"/>
          <w:b/>
          <w:sz w:val="52"/>
          <w:lang w:val="en-US" w:eastAsia="zh-CN"/>
        </w:rPr>
        <w:t>3</w:t>
      </w:r>
      <w:r>
        <w:rPr>
          <w:rFonts w:ascii="Arial" w:hAnsi="Arial" w:eastAsia="等线" w:cs="Arial"/>
          <w:b/>
          <w:sz w:val="52"/>
        </w:rPr>
        <w:t>.0.0</w:t>
      </w:r>
    </w:p>
    <w:p w14:paraId="245421AF">
      <w:pPr>
        <w:spacing w:before="480" w:after="480" w:line="288" w:lineRule="auto"/>
        <w:ind w:left="1000" w:leftChars="0" w:firstLine="500" w:firstLineChars="0"/>
        <w:jc w:val="center"/>
        <w:outlineLvl w:val="0"/>
      </w:pPr>
      <w:r>
        <w:rPr>
          <w:rFonts w:ascii="Arial" w:hAnsi="Arial" w:eastAsia="等线" w:cs="Arial"/>
          <w:b/>
          <w:sz w:val="52"/>
        </w:rPr>
        <w:t>操作手册</w:t>
      </w:r>
      <w:bookmarkEnd w:id="0"/>
    </w:p>
    <w:p w14:paraId="4D8A5B4A">
      <w:pPr>
        <w:spacing w:before="120" w:after="120" w:line="288" w:lineRule="auto"/>
        <w:ind w:left="0"/>
        <w:jc w:val="left"/>
      </w:pPr>
      <w:r>
        <w:drawing>
          <wp:inline distT="0" distB="0" distL="0" distR="0">
            <wp:extent cx="5257800" cy="942975"/>
            <wp:effectExtent l="0" t="0" r="0" b="9525"/>
            <wp:docPr id="2"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pic:cNvPicPr>
                      <a:picLocks noChangeAspect="1"/>
                    </pic:cNvPicPr>
                  </pic:nvPicPr>
                  <pic:blipFill>
                    <a:blip r:embed="rId5"/>
                    <a:stretch>
                      <a:fillRect/>
                    </a:stretch>
                  </pic:blipFill>
                  <pic:spPr>
                    <a:xfrm>
                      <a:off x="0" y="0"/>
                      <a:ext cx="5257800" cy="942975"/>
                    </a:xfrm>
                    <a:prstGeom prst="rect">
                      <a:avLst/>
                    </a:prstGeom>
                  </pic:spPr>
                </pic:pic>
              </a:graphicData>
            </a:graphic>
          </wp:inline>
        </w:drawing>
      </w:r>
    </w:p>
    <w:p w14:paraId="240DAD85">
      <w:pPr>
        <w:spacing w:before="120" w:after="120" w:line="288" w:lineRule="auto"/>
        <w:ind w:left="0"/>
        <w:jc w:val="left"/>
      </w:pPr>
    </w:p>
    <w:p w14:paraId="698C2B28">
      <w:pPr>
        <w:spacing w:before="120" w:after="120" w:line="288" w:lineRule="auto"/>
        <w:ind w:left="0" w:firstLine="0"/>
        <w:jc w:val="center"/>
        <w:outlineLvl w:val="0"/>
      </w:pPr>
      <w:r>
        <w:rPr>
          <w:rFonts w:ascii="Arial" w:hAnsi="Arial" w:eastAsia="等线" w:cs="Arial"/>
          <w:b/>
          <w:sz w:val="22"/>
        </w:rPr>
        <w:t>太乙交易平台</w:t>
      </w:r>
    </w:p>
    <w:p w14:paraId="1555852D">
      <w:pPr>
        <w:spacing w:before="120" w:after="120" w:line="288" w:lineRule="auto"/>
        <w:ind w:left="0" w:firstLine="0"/>
        <w:jc w:val="left"/>
      </w:pPr>
    </w:p>
    <w:p w14:paraId="105E312E">
      <w:pPr>
        <w:spacing w:before="200" w:after="120" w:line="288" w:lineRule="auto"/>
        <w:ind w:left="0" w:firstLine="0"/>
        <w:jc w:val="center"/>
      </w:pPr>
      <w:r>
        <w:rPr>
          <w:rFonts w:ascii="Arial" w:hAnsi="Arial" w:eastAsia="等线" w:cs="Arial"/>
          <w:b/>
          <w:sz w:val="22"/>
        </w:rPr>
        <w:t>操作说明</w:t>
      </w:r>
    </w:p>
    <w:p w14:paraId="0F70AF46">
      <w:pPr>
        <w:spacing w:before="120" w:after="120" w:line="288" w:lineRule="auto"/>
        <w:ind w:left="0" w:firstLine="0"/>
        <w:jc w:val="left"/>
      </w:pPr>
    </w:p>
    <w:p w14:paraId="434BB2EF">
      <w:pPr>
        <w:spacing w:before="120" w:after="120" w:line="288" w:lineRule="auto"/>
        <w:ind w:left="0" w:firstLine="0"/>
        <w:jc w:val="center"/>
      </w:pPr>
      <w:r>
        <w:rPr>
          <w:rFonts w:ascii="Arial" w:hAnsi="Arial" w:eastAsia="等线" w:cs="Arial"/>
          <w:sz w:val="22"/>
        </w:rPr>
        <w:t>2025年6月 版本：</w:t>
      </w:r>
      <w:r>
        <w:rPr>
          <w:rFonts w:hint="eastAsia" w:ascii="Arial" w:hAnsi="Arial" w:eastAsia="等线" w:cs="Arial"/>
          <w:sz w:val="22"/>
          <w:lang w:val="en-US" w:eastAsia="zh-CN"/>
        </w:rPr>
        <w:t>3</w:t>
      </w:r>
      <w:r>
        <w:rPr>
          <w:rFonts w:ascii="Arial" w:hAnsi="Arial" w:eastAsia="等线" w:cs="Arial"/>
          <w:sz w:val="22"/>
        </w:rPr>
        <w:t>.0.0</w:t>
      </w:r>
    </w:p>
    <w:p w14:paraId="5D64635F">
      <w:pPr>
        <w:keepNext w:val="0"/>
        <w:keepLines w:val="0"/>
        <w:widowControl/>
        <w:suppressLineNumbers w:val="0"/>
        <w:jc w:val="center"/>
      </w:pPr>
      <w:r>
        <w:rPr>
          <w:rFonts w:ascii="宋体" w:hAnsi="宋体" w:eastAsia="宋体" w:cs="宋体"/>
          <w:b/>
          <w:bCs/>
          <w:kern w:val="0"/>
          <w:sz w:val="24"/>
          <w:szCs w:val="24"/>
          <w:lang w:val="en-US" w:eastAsia="zh-CN" w:bidi="ar"/>
        </w:rPr>
        <w:t>江苏万帮太乙科技股份有限公司</w:t>
      </w:r>
    </w:p>
    <w:p w14:paraId="015DBADC">
      <w:r>
        <w:br w:type="page"/>
      </w:r>
    </w:p>
    <w:p w14:paraId="796BD286">
      <w:pPr>
        <w:spacing w:after="200"/>
        <w:jc w:val="center"/>
        <w:rPr>
          <w:rFonts w:ascii="Arial" w:hAnsi="Arial" w:eastAsia="等线" w:cs="Arial"/>
          <w:b/>
          <w:sz w:val="36"/>
        </w:rPr>
      </w:pPr>
      <w:r>
        <w:rPr>
          <w:rFonts w:ascii="Arial" w:hAnsi="Arial" w:eastAsia="等线" w:cs="Arial"/>
          <w:b/>
          <w:sz w:val="36"/>
        </w:rPr>
        <w:t>目录</w:t>
      </w:r>
    </w:p>
    <w:p w14:paraId="733E57F2">
      <w:pPr>
        <w:pStyle w:val="9"/>
        <w:spacing w:before="60" w:after="60" w:line="288" w:lineRule="auto"/>
        <w:rPr>
          <w:rFonts w:ascii="Arial" w:hAnsi="Arial" w:eastAsia="等线"/>
          <w:sz w:val="24"/>
        </w:rPr>
      </w:pPr>
      <w:r>
        <w:rPr>
          <w:rFonts w:ascii="Arial" w:hAnsi="Arial" w:eastAsia="等线"/>
          <w:sz w:val="24"/>
        </w:rPr>
        <w:t>1 工作台</w:t>
      </w:r>
      <w:r>
        <w:rPr>
          <w:rFonts w:ascii="Arial" w:hAnsi="Arial" w:eastAsia="等线"/>
          <w:sz w:val="24"/>
        </w:rPr>
        <w:tab/>
      </w:r>
      <w:r>
        <w:rPr>
          <w:rFonts w:ascii="Arial" w:hAnsi="Arial" w:eastAsia="等线"/>
          <w:sz w:val="24"/>
        </w:rPr>
        <w:t>1</w:t>
      </w:r>
    </w:p>
    <w:p w14:paraId="3364B8BD">
      <w:pPr>
        <w:pStyle w:val="10"/>
        <w:spacing w:before="40" w:after="40" w:line="288" w:lineRule="auto"/>
        <w:ind w:left="420" w:right="0"/>
        <w:rPr>
          <w:rFonts w:ascii="Arial" w:hAnsi="Arial" w:eastAsia="等线"/>
          <w:sz w:val="24"/>
        </w:rPr>
      </w:pPr>
      <w:r>
        <w:rPr>
          <w:rFonts w:ascii="Arial" w:hAnsi="Arial" w:eastAsia="等线"/>
          <w:sz w:val="24"/>
        </w:rPr>
        <w:t>1.1 交易工作台</w:t>
      </w:r>
      <w:r>
        <w:rPr>
          <w:rFonts w:ascii="Arial" w:hAnsi="Arial" w:eastAsia="等线"/>
          <w:sz w:val="24"/>
        </w:rPr>
        <w:tab/>
      </w:r>
      <w:r>
        <w:rPr>
          <w:rFonts w:ascii="Arial" w:hAnsi="Arial" w:eastAsia="等线"/>
          <w:sz w:val="24"/>
        </w:rPr>
        <w:t>1</w:t>
      </w:r>
    </w:p>
    <w:p w14:paraId="7699219A">
      <w:pPr>
        <w:pStyle w:val="10"/>
        <w:spacing w:before="40" w:after="40" w:line="288" w:lineRule="auto"/>
        <w:ind w:left="420" w:right="0"/>
        <w:rPr>
          <w:rFonts w:ascii="Arial" w:hAnsi="Arial" w:eastAsia="等线"/>
          <w:sz w:val="24"/>
        </w:rPr>
      </w:pPr>
      <w:r>
        <w:rPr>
          <w:rFonts w:ascii="Arial" w:hAnsi="Arial" w:eastAsia="等线"/>
          <w:sz w:val="24"/>
        </w:rPr>
        <w:t>1.2 响应工作台</w:t>
      </w:r>
      <w:r>
        <w:rPr>
          <w:rFonts w:ascii="Arial" w:hAnsi="Arial" w:eastAsia="等线"/>
          <w:sz w:val="24"/>
        </w:rPr>
        <w:tab/>
      </w:r>
      <w:r>
        <w:rPr>
          <w:rFonts w:ascii="Arial" w:hAnsi="Arial" w:eastAsia="等线"/>
          <w:sz w:val="24"/>
        </w:rPr>
        <w:t>2</w:t>
      </w:r>
    </w:p>
    <w:p w14:paraId="5D0E428B">
      <w:pPr>
        <w:pStyle w:val="9"/>
        <w:spacing w:before="60" w:after="60" w:line="288" w:lineRule="auto"/>
        <w:rPr>
          <w:rFonts w:ascii="Arial" w:hAnsi="Arial" w:eastAsia="等线"/>
          <w:sz w:val="24"/>
        </w:rPr>
      </w:pPr>
      <w:r>
        <w:rPr>
          <w:rFonts w:ascii="Arial" w:hAnsi="Arial" w:eastAsia="等线"/>
          <w:sz w:val="24"/>
        </w:rPr>
        <w:t>2 数据中心</w:t>
      </w:r>
      <w:r>
        <w:rPr>
          <w:rFonts w:ascii="Arial" w:hAnsi="Arial" w:eastAsia="等线"/>
          <w:sz w:val="24"/>
        </w:rPr>
        <w:tab/>
      </w:r>
      <w:r>
        <w:rPr>
          <w:rFonts w:ascii="Arial" w:hAnsi="Arial" w:eastAsia="等线"/>
          <w:sz w:val="24"/>
        </w:rPr>
        <w:t>3</w:t>
      </w:r>
    </w:p>
    <w:p w14:paraId="1A743BE0">
      <w:pPr>
        <w:pStyle w:val="10"/>
        <w:spacing w:before="40" w:after="40" w:line="288" w:lineRule="auto"/>
        <w:ind w:left="420" w:right="0"/>
        <w:rPr>
          <w:rFonts w:ascii="Arial" w:hAnsi="Arial" w:eastAsia="等线"/>
          <w:sz w:val="24"/>
        </w:rPr>
      </w:pPr>
      <w:r>
        <w:rPr>
          <w:rFonts w:ascii="Arial" w:hAnsi="Arial" w:eastAsia="等线"/>
          <w:sz w:val="24"/>
        </w:rPr>
        <w:t>2.1 电价走势</w:t>
      </w:r>
      <w:r>
        <w:rPr>
          <w:rFonts w:ascii="Arial" w:hAnsi="Arial" w:eastAsia="等线"/>
          <w:sz w:val="24"/>
        </w:rPr>
        <w:tab/>
      </w:r>
      <w:r>
        <w:rPr>
          <w:rFonts w:ascii="Arial" w:hAnsi="Arial" w:eastAsia="等线"/>
          <w:sz w:val="24"/>
        </w:rPr>
        <w:t>3</w:t>
      </w:r>
    </w:p>
    <w:p w14:paraId="770111E8">
      <w:pPr>
        <w:pStyle w:val="10"/>
        <w:spacing w:before="40" w:after="40" w:line="288" w:lineRule="auto"/>
        <w:ind w:left="420" w:right="0"/>
        <w:rPr>
          <w:rFonts w:ascii="Arial" w:hAnsi="Arial" w:eastAsia="等线"/>
          <w:sz w:val="24"/>
        </w:rPr>
      </w:pPr>
      <w:r>
        <w:rPr>
          <w:rFonts w:ascii="Arial" w:hAnsi="Arial" w:eastAsia="等线"/>
          <w:sz w:val="24"/>
        </w:rPr>
        <w:t>2.2 天气数据</w:t>
      </w:r>
      <w:r>
        <w:rPr>
          <w:rFonts w:ascii="Arial" w:hAnsi="Arial" w:eastAsia="等线"/>
          <w:sz w:val="24"/>
        </w:rPr>
        <w:tab/>
      </w:r>
      <w:r>
        <w:rPr>
          <w:rFonts w:ascii="Arial" w:hAnsi="Arial" w:eastAsia="等线"/>
          <w:sz w:val="24"/>
        </w:rPr>
        <w:t>4</w:t>
      </w:r>
    </w:p>
    <w:p w14:paraId="156C63AA">
      <w:pPr>
        <w:pStyle w:val="10"/>
        <w:spacing w:before="40" w:after="40" w:line="288" w:lineRule="auto"/>
        <w:ind w:left="420" w:right="0"/>
        <w:rPr>
          <w:rFonts w:ascii="Arial" w:hAnsi="Arial" w:eastAsia="等线"/>
          <w:sz w:val="24"/>
        </w:rPr>
      </w:pPr>
      <w:r>
        <w:rPr>
          <w:rFonts w:ascii="Arial" w:hAnsi="Arial" w:eastAsia="等线"/>
          <w:sz w:val="24"/>
        </w:rPr>
        <w:t>2.3 市场分析</w:t>
      </w:r>
      <w:r>
        <w:rPr>
          <w:rFonts w:ascii="Arial" w:hAnsi="Arial" w:eastAsia="等线"/>
          <w:sz w:val="24"/>
        </w:rPr>
        <w:tab/>
      </w:r>
      <w:r>
        <w:rPr>
          <w:rFonts w:ascii="Arial" w:hAnsi="Arial" w:eastAsia="等线"/>
          <w:sz w:val="24"/>
        </w:rPr>
        <w:t>6</w:t>
      </w:r>
    </w:p>
    <w:p w14:paraId="5FAEDB57">
      <w:pPr>
        <w:pStyle w:val="10"/>
        <w:spacing w:before="40" w:after="40" w:line="288" w:lineRule="auto"/>
        <w:ind w:left="420" w:right="0"/>
        <w:rPr>
          <w:rFonts w:ascii="Arial" w:hAnsi="Arial" w:eastAsia="等线"/>
          <w:sz w:val="24"/>
        </w:rPr>
      </w:pPr>
      <w:r>
        <w:rPr>
          <w:rFonts w:ascii="Arial" w:hAnsi="Arial" w:eastAsia="等线"/>
          <w:sz w:val="24"/>
        </w:rPr>
        <w:t>2.4 煤价分析</w:t>
      </w:r>
      <w:r>
        <w:rPr>
          <w:rFonts w:ascii="Arial" w:hAnsi="Arial" w:eastAsia="等线"/>
          <w:sz w:val="24"/>
        </w:rPr>
        <w:tab/>
      </w:r>
      <w:r>
        <w:rPr>
          <w:rFonts w:ascii="Arial" w:hAnsi="Arial" w:eastAsia="等线"/>
          <w:sz w:val="24"/>
        </w:rPr>
        <w:t>8</w:t>
      </w:r>
    </w:p>
    <w:p w14:paraId="7B5B29E5">
      <w:pPr>
        <w:pStyle w:val="10"/>
        <w:spacing w:before="40" w:after="40" w:line="288" w:lineRule="auto"/>
        <w:ind w:left="420" w:right="0"/>
        <w:rPr>
          <w:rFonts w:ascii="Arial" w:hAnsi="Arial" w:eastAsia="等线"/>
          <w:sz w:val="24"/>
        </w:rPr>
      </w:pPr>
      <w:r>
        <w:rPr>
          <w:rFonts w:ascii="Arial" w:hAnsi="Arial" w:eastAsia="等线"/>
          <w:sz w:val="24"/>
        </w:rPr>
        <w:t>2.5 检修情况</w:t>
      </w:r>
      <w:r>
        <w:rPr>
          <w:rFonts w:ascii="Arial" w:hAnsi="Arial" w:eastAsia="等线"/>
          <w:sz w:val="24"/>
        </w:rPr>
        <w:tab/>
      </w:r>
      <w:r>
        <w:rPr>
          <w:rFonts w:ascii="Arial" w:hAnsi="Arial" w:eastAsia="等线"/>
          <w:sz w:val="24"/>
        </w:rPr>
        <w:t>9</w:t>
      </w:r>
    </w:p>
    <w:p w14:paraId="132BC7CA">
      <w:pPr>
        <w:pStyle w:val="9"/>
        <w:spacing w:before="60" w:after="60" w:line="288" w:lineRule="auto"/>
        <w:rPr>
          <w:rFonts w:ascii="Arial" w:hAnsi="Arial" w:eastAsia="等线"/>
          <w:sz w:val="24"/>
        </w:rPr>
      </w:pPr>
      <w:r>
        <w:rPr>
          <w:rFonts w:ascii="Arial" w:hAnsi="Arial" w:eastAsia="等线"/>
          <w:sz w:val="24"/>
        </w:rPr>
        <w:t>3 客户管理</w:t>
      </w:r>
      <w:r>
        <w:rPr>
          <w:rFonts w:ascii="Arial" w:hAnsi="Arial" w:eastAsia="等线"/>
          <w:sz w:val="24"/>
        </w:rPr>
        <w:tab/>
      </w:r>
      <w:r>
        <w:rPr>
          <w:rFonts w:ascii="Arial" w:hAnsi="Arial" w:eastAsia="等线"/>
          <w:sz w:val="24"/>
        </w:rPr>
        <w:t>10</w:t>
      </w:r>
    </w:p>
    <w:p w14:paraId="50E78DB3">
      <w:pPr>
        <w:pStyle w:val="10"/>
        <w:spacing w:before="40" w:after="40" w:line="288" w:lineRule="auto"/>
        <w:ind w:left="420" w:right="0"/>
        <w:rPr>
          <w:rFonts w:ascii="Arial" w:hAnsi="Arial" w:eastAsia="等线"/>
          <w:sz w:val="24"/>
        </w:rPr>
      </w:pPr>
      <w:r>
        <w:rPr>
          <w:rFonts w:ascii="Arial" w:hAnsi="Arial" w:eastAsia="等线"/>
          <w:sz w:val="24"/>
        </w:rPr>
        <w:t>3.1 客户企业</w:t>
      </w:r>
      <w:r>
        <w:rPr>
          <w:rFonts w:ascii="Arial" w:hAnsi="Arial" w:eastAsia="等线"/>
          <w:sz w:val="24"/>
        </w:rPr>
        <w:tab/>
      </w:r>
      <w:r>
        <w:rPr>
          <w:rFonts w:ascii="Arial" w:hAnsi="Arial" w:eastAsia="等线"/>
          <w:sz w:val="24"/>
        </w:rPr>
        <w:t>10</w:t>
      </w:r>
    </w:p>
    <w:p w14:paraId="0DBDAED1">
      <w:pPr>
        <w:pStyle w:val="10"/>
        <w:spacing w:before="40" w:after="40" w:line="288" w:lineRule="auto"/>
        <w:ind w:left="420" w:right="0"/>
        <w:rPr>
          <w:rFonts w:ascii="Arial" w:hAnsi="Arial" w:eastAsia="等线"/>
          <w:sz w:val="24"/>
        </w:rPr>
      </w:pPr>
      <w:r>
        <w:rPr>
          <w:rFonts w:ascii="Arial" w:hAnsi="Arial" w:eastAsia="等线"/>
          <w:sz w:val="24"/>
        </w:rPr>
        <w:t>3.2 合同管理</w:t>
      </w:r>
      <w:r>
        <w:rPr>
          <w:rFonts w:ascii="Arial" w:hAnsi="Arial" w:eastAsia="等线"/>
          <w:sz w:val="24"/>
        </w:rPr>
        <w:tab/>
      </w:r>
      <w:r>
        <w:rPr>
          <w:rFonts w:ascii="Arial" w:hAnsi="Arial" w:eastAsia="等线"/>
          <w:sz w:val="24"/>
        </w:rPr>
        <w:t>12</w:t>
      </w:r>
    </w:p>
    <w:p w14:paraId="4D25AFAB">
      <w:pPr>
        <w:pStyle w:val="10"/>
        <w:spacing w:before="40" w:after="40" w:line="288" w:lineRule="auto"/>
        <w:ind w:left="420" w:right="0"/>
        <w:rPr>
          <w:rFonts w:ascii="Arial" w:hAnsi="Arial" w:eastAsia="等线"/>
          <w:sz w:val="24"/>
        </w:rPr>
      </w:pPr>
      <w:r>
        <w:rPr>
          <w:rFonts w:ascii="Arial" w:hAnsi="Arial" w:eastAsia="等线"/>
          <w:sz w:val="24"/>
        </w:rPr>
        <w:t>3.3 用电档案管理</w:t>
      </w:r>
      <w:r>
        <w:rPr>
          <w:rFonts w:ascii="Arial" w:hAnsi="Arial" w:eastAsia="等线"/>
          <w:sz w:val="24"/>
        </w:rPr>
        <w:tab/>
      </w:r>
      <w:r>
        <w:rPr>
          <w:rFonts w:ascii="Arial" w:hAnsi="Arial" w:eastAsia="等线"/>
          <w:sz w:val="24"/>
        </w:rPr>
        <w:t>15</w:t>
      </w:r>
    </w:p>
    <w:p w14:paraId="0EA21259">
      <w:pPr>
        <w:pStyle w:val="10"/>
        <w:spacing w:before="40" w:after="40" w:line="288" w:lineRule="auto"/>
        <w:ind w:left="420" w:right="0"/>
        <w:rPr>
          <w:rFonts w:ascii="Arial" w:hAnsi="Arial" w:eastAsia="等线"/>
          <w:sz w:val="24"/>
        </w:rPr>
      </w:pPr>
      <w:r>
        <w:rPr>
          <w:rFonts w:ascii="Arial" w:hAnsi="Arial" w:eastAsia="等线"/>
          <w:sz w:val="24"/>
        </w:rPr>
        <w:t>3.4 计量点档案</w:t>
      </w:r>
      <w:r>
        <w:rPr>
          <w:rFonts w:ascii="Arial" w:hAnsi="Arial" w:eastAsia="等线"/>
          <w:sz w:val="24"/>
        </w:rPr>
        <w:tab/>
      </w:r>
      <w:r>
        <w:rPr>
          <w:rFonts w:ascii="Arial" w:hAnsi="Arial" w:eastAsia="等线"/>
          <w:sz w:val="24"/>
        </w:rPr>
        <w:t>16</w:t>
      </w:r>
    </w:p>
    <w:p w14:paraId="073A8CE4">
      <w:pPr>
        <w:pStyle w:val="9"/>
        <w:spacing w:before="60" w:after="60" w:line="288" w:lineRule="auto"/>
        <w:rPr>
          <w:rFonts w:ascii="Arial" w:hAnsi="Arial" w:eastAsia="等线"/>
          <w:sz w:val="24"/>
        </w:rPr>
      </w:pPr>
      <w:r>
        <w:rPr>
          <w:rFonts w:ascii="Arial" w:hAnsi="Arial" w:eastAsia="等线"/>
          <w:sz w:val="24"/>
        </w:rPr>
        <w:t>4 交易管理</w:t>
      </w:r>
      <w:r>
        <w:rPr>
          <w:rFonts w:ascii="Arial" w:hAnsi="Arial" w:eastAsia="等线"/>
          <w:sz w:val="24"/>
        </w:rPr>
        <w:tab/>
      </w:r>
      <w:r>
        <w:rPr>
          <w:rFonts w:ascii="Arial" w:hAnsi="Arial" w:eastAsia="等线"/>
          <w:sz w:val="24"/>
        </w:rPr>
        <w:t>17</w:t>
      </w:r>
    </w:p>
    <w:p w14:paraId="25A8C9E5">
      <w:pPr>
        <w:pStyle w:val="10"/>
        <w:spacing w:before="40" w:after="40" w:line="288" w:lineRule="auto"/>
        <w:ind w:left="420" w:right="0"/>
        <w:rPr>
          <w:rFonts w:ascii="Arial" w:hAnsi="Arial" w:eastAsia="等线"/>
          <w:sz w:val="24"/>
        </w:rPr>
      </w:pPr>
      <w:r>
        <w:rPr>
          <w:rFonts w:ascii="Arial" w:hAnsi="Arial" w:eastAsia="等线"/>
          <w:sz w:val="24"/>
        </w:rPr>
        <w:t>4.1 交易持仓</w:t>
      </w:r>
      <w:r>
        <w:rPr>
          <w:rFonts w:ascii="Arial" w:hAnsi="Arial" w:eastAsia="等线"/>
          <w:sz w:val="24"/>
        </w:rPr>
        <w:tab/>
      </w:r>
      <w:r>
        <w:rPr>
          <w:rFonts w:ascii="Arial" w:hAnsi="Arial" w:eastAsia="等线"/>
          <w:sz w:val="24"/>
        </w:rPr>
        <w:t>17</w:t>
      </w:r>
    </w:p>
    <w:p w14:paraId="79A82FAE">
      <w:pPr>
        <w:pStyle w:val="10"/>
        <w:spacing w:before="40" w:after="40" w:line="288" w:lineRule="auto"/>
        <w:ind w:left="420" w:right="0"/>
        <w:rPr>
          <w:rFonts w:ascii="Arial" w:hAnsi="Arial" w:eastAsia="等线"/>
          <w:sz w:val="24"/>
        </w:rPr>
      </w:pPr>
      <w:r>
        <w:rPr>
          <w:rFonts w:ascii="Arial" w:hAnsi="Arial" w:eastAsia="等线"/>
          <w:sz w:val="24"/>
        </w:rPr>
        <w:t>4.2 中长期交易策略</w:t>
      </w:r>
      <w:r>
        <w:rPr>
          <w:rFonts w:ascii="Arial" w:hAnsi="Arial" w:eastAsia="等线"/>
          <w:sz w:val="24"/>
        </w:rPr>
        <w:tab/>
      </w:r>
      <w:r>
        <w:rPr>
          <w:rFonts w:ascii="Arial" w:hAnsi="Arial" w:eastAsia="等线"/>
          <w:sz w:val="24"/>
        </w:rPr>
        <w:t>19</w:t>
      </w:r>
    </w:p>
    <w:p w14:paraId="29DACCE1">
      <w:pPr>
        <w:pStyle w:val="10"/>
        <w:spacing w:before="40" w:after="40" w:line="288" w:lineRule="auto"/>
        <w:ind w:left="420" w:right="0"/>
        <w:rPr>
          <w:rFonts w:ascii="Arial" w:hAnsi="Arial" w:eastAsia="等线"/>
          <w:sz w:val="24"/>
        </w:rPr>
      </w:pPr>
      <w:r>
        <w:rPr>
          <w:rFonts w:ascii="Arial" w:hAnsi="Arial" w:eastAsia="等线"/>
          <w:sz w:val="24"/>
        </w:rPr>
        <w:t>4.3 日滚动撮合策略</w:t>
      </w:r>
      <w:r>
        <w:rPr>
          <w:rFonts w:ascii="Arial" w:hAnsi="Arial" w:eastAsia="等线"/>
          <w:sz w:val="24"/>
        </w:rPr>
        <w:tab/>
      </w:r>
      <w:r>
        <w:rPr>
          <w:rFonts w:ascii="Arial" w:hAnsi="Arial" w:eastAsia="等线"/>
          <w:sz w:val="24"/>
        </w:rPr>
        <w:t>22</w:t>
      </w:r>
    </w:p>
    <w:p w14:paraId="5FB720B2">
      <w:pPr>
        <w:pStyle w:val="10"/>
        <w:spacing w:before="40" w:after="40" w:line="288" w:lineRule="auto"/>
        <w:ind w:left="420" w:right="0"/>
        <w:rPr>
          <w:rFonts w:ascii="Arial" w:hAnsi="Arial" w:eastAsia="等线"/>
          <w:sz w:val="24"/>
        </w:rPr>
      </w:pPr>
      <w:r>
        <w:rPr>
          <w:rFonts w:ascii="Arial" w:hAnsi="Arial" w:eastAsia="等线"/>
          <w:sz w:val="24"/>
        </w:rPr>
        <w:t>4.4 现货交易策略</w:t>
      </w:r>
      <w:r>
        <w:rPr>
          <w:rFonts w:ascii="Arial" w:hAnsi="Arial" w:eastAsia="等线"/>
          <w:sz w:val="24"/>
        </w:rPr>
        <w:tab/>
      </w:r>
      <w:r>
        <w:rPr>
          <w:rFonts w:ascii="Arial" w:hAnsi="Arial" w:eastAsia="等线"/>
          <w:sz w:val="24"/>
        </w:rPr>
        <w:t>26</w:t>
      </w:r>
    </w:p>
    <w:p w14:paraId="26FF2C4D">
      <w:pPr>
        <w:pStyle w:val="10"/>
        <w:spacing w:before="40" w:after="40" w:line="288" w:lineRule="auto"/>
        <w:ind w:left="420" w:right="0"/>
        <w:rPr>
          <w:rFonts w:ascii="Arial" w:hAnsi="Arial" w:eastAsia="等线"/>
          <w:sz w:val="24"/>
        </w:rPr>
      </w:pPr>
      <w:r>
        <w:rPr>
          <w:rFonts w:ascii="Arial" w:hAnsi="Arial" w:eastAsia="等线"/>
          <w:sz w:val="24"/>
        </w:rPr>
        <w:t>4.5 绿电分解</w:t>
      </w:r>
      <w:r>
        <w:rPr>
          <w:rFonts w:ascii="Arial" w:hAnsi="Arial" w:eastAsia="等线"/>
          <w:sz w:val="24"/>
        </w:rPr>
        <w:tab/>
      </w:r>
      <w:r>
        <w:rPr>
          <w:rFonts w:ascii="Arial" w:hAnsi="Arial" w:eastAsia="等线"/>
          <w:sz w:val="24"/>
        </w:rPr>
        <w:t>30</w:t>
      </w:r>
    </w:p>
    <w:p w14:paraId="65C20F14">
      <w:pPr>
        <w:pStyle w:val="10"/>
        <w:spacing w:before="40" w:after="40" w:line="288" w:lineRule="auto"/>
        <w:ind w:left="420" w:right="0"/>
        <w:rPr>
          <w:rFonts w:ascii="Arial" w:hAnsi="Arial" w:eastAsia="等线"/>
          <w:sz w:val="24"/>
        </w:rPr>
      </w:pPr>
      <w:r>
        <w:rPr>
          <w:rFonts w:ascii="Arial" w:hAnsi="Arial" w:eastAsia="等线"/>
          <w:sz w:val="24"/>
        </w:rPr>
        <w:t>4.6 用电负荷</w:t>
      </w:r>
      <w:r>
        <w:rPr>
          <w:rFonts w:ascii="Arial" w:hAnsi="Arial" w:eastAsia="等线"/>
          <w:sz w:val="24"/>
        </w:rPr>
        <w:tab/>
      </w:r>
      <w:r>
        <w:rPr>
          <w:rFonts w:ascii="Arial" w:hAnsi="Arial" w:eastAsia="等线"/>
          <w:sz w:val="24"/>
        </w:rPr>
        <w:t>31</w:t>
      </w:r>
    </w:p>
    <w:p w14:paraId="37752A1E">
      <w:pPr>
        <w:pStyle w:val="10"/>
        <w:spacing w:before="40" w:after="40" w:line="288" w:lineRule="auto"/>
        <w:ind w:left="420" w:right="0"/>
        <w:rPr>
          <w:rFonts w:ascii="Arial" w:hAnsi="Arial" w:eastAsia="等线"/>
          <w:sz w:val="24"/>
        </w:rPr>
      </w:pPr>
      <w:r>
        <w:rPr>
          <w:rFonts w:ascii="Arial" w:hAnsi="Arial" w:eastAsia="等线"/>
          <w:sz w:val="24"/>
        </w:rPr>
        <w:t>4.7 交易数据</w:t>
      </w:r>
      <w:r>
        <w:rPr>
          <w:rFonts w:ascii="Arial" w:hAnsi="Arial" w:eastAsia="等线"/>
          <w:sz w:val="24"/>
        </w:rPr>
        <w:tab/>
      </w:r>
      <w:r>
        <w:rPr>
          <w:rFonts w:ascii="Arial" w:hAnsi="Arial" w:eastAsia="等线"/>
          <w:sz w:val="24"/>
        </w:rPr>
        <w:t>32</w:t>
      </w:r>
    </w:p>
    <w:p w14:paraId="77885B9E">
      <w:pPr>
        <w:pStyle w:val="10"/>
        <w:spacing w:before="40" w:after="40" w:line="288" w:lineRule="auto"/>
        <w:ind w:left="420" w:right="0"/>
        <w:rPr>
          <w:rFonts w:ascii="Arial" w:hAnsi="Arial" w:eastAsia="等线"/>
          <w:sz w:val="24"/>
        </w:rPr>
      </w:pPr>
      <w:r>
        <w:rPr>
          <w:rFonts w:ascii="Arial" w:hAnsi="Arial" w:eastAsia="等线"/>
          <w:sz w:val="24"/>
        </w:rPr>
        <w:t>4.8 算法服务</w:t>
      </w:r>
      <w:r>
        <w:rPr>
          <w:rFonts w:ascii="Arial" w:hAnsi="Arial" w:eastAsia="等线"/>
          <w:sz w:val="24"/>
        </w:rPr>
        <w:tab/>
      </w:r>
      <w:r>
        <w:rPr>
          <w:rFonts w:ascii="Arial" w:hAnsi="Arial" w:eastAsia="等线"/>
          <w:sz w:val="24"/>
        </w:rPr>
        <w:t>34</w:t>
      </w:r>
    </w:p>
    <w:p w14:paraId="63324461">
      <w:pPr>
        <w:pStyle w:val="9"/>
        <w:spacing w:before="60" w:after="60" w:line="288" w:lineRule="auto"/>
        <w:rPr>
          <w:rFonts w:ascii="Arial" w:hAnsi="Arial" w:eastAsia="等线"/>
          <w:sz w:val="24"/>
        </w:rPr>
      </w:pPr>
      <w:r>
        <w:rPr>
          <w:rFonts w:ascii="Arial" w:hAnsi="Arial" w:eastAsia="等线"/>
          <w:sz w:val="24"/>
        </w:rPr>
        <w:t>5 电网互动</w:t>
      </w:r>
      <w:r>
        <w:rPr>
          <w:rFonts w:ascii="Arial" w:hAnsi="Arial" w:eastAsia="等线"/>
          <w:sz w:val="24"/>
        </w:rPr>
        <w:tab/>
      </w:r>
      <w:r>
        <w:rPr>
          <w:rFonts w:ascii="Arial" w:hAnsi="Arial" w:eastAsia="等线"/>
          <w:sz w:val="24"/>
        </w:rPr>
        <w:t>36</w:t>
      </w:r>
    </w:p>
    <w:p w14:paraId="7BE7DF2B">
      <w:pPr>
        <w:pStyle w:val="10"/>
        <w:spacing w:before="40" w:after="40" w:line="288" w:lineRule="auto"/>
        <w:ind w:left="420" w:right="0"/>
        <w:rPr>
          <w:rFonts w:ascii="Arial" w:hAnsi="Arial" w:eastAsia="等线"/>
          <w:sz w:val="24"/>
        </w:rPr>
      </w:pPr>
      <w:r>
        <w:rPr>
          <w:rFonts w:ascii="Arial" w:hAnsi="Arial" w:eastAsia="等线"/>
          <w:sz w:val="24"/>
        </w:rPr>
        <w:t>5.1 计划调控</w:t>
      </w:r>
      <w:r>
        <w:rPr>
          <w:rFonts w:ascii="Arial" w:hAnsi="Arial" w:eastAsia="等线"/>
          <w:sz w:val="24"/>
        </w:rPr>
        <w:tab/>
      </w:r>
      <w:r>
        <w:rPr>
          <w:rFonts w:ascii="Arial" w:hAnsi="Arial" w:eastAsia="等线"/>
          <w:sz w:val="24"/>
        </w:rPr>
        <w:t>36</w:t>
      </w:r>
    </w:p>
    <w:p w14:paraId="71BFBAB5">
      <w:pPr>
        <w:pStyle w:val="10"/>
        <w:spacing w:before="40" w:after="40" w:line="288" w:lineRule="auto"/>
        <w:ind w:left="420" w:right="0"/>
        <w:rPr>
          <w:rFonts w:ascii="Arial" w:hAnsi="Arial" w:eastAsia="等线"/>
          <w:sz w:val="24"/>
        </w:rPr>
      </w:pPr>
      <w:r>
        <w:rPr>
          <w:rFonts w:ascii="Arial" w:hAnsi="Arial" w:eastAsia="等线"/>
          <w:sz w:val="24"/>
        </w:rPr>
        <w:t>5.2 响应监控</w:t>
      </w:r>
      <w:r>
        <w:rPr>
          <w:rFonts w:ascii="Arial" w:hAnsi="Arial" w:eastAsia="等线"/>
          <w:sz w:val="24"/>
        </w:rPr>
        <w:tab/>
      </w:r>
      <w:r>
        <w:rPr>
          <w:rFonts w:ascii="Arial" w:hAnsi="Arial" w:eastAsia="等线"/>
          <w:sz w:val="24"/>
        </w:rPr>
        <w:t>40</w:t>
      </w:r>
    </w:p>
    <w:p w14:paraId="417772B0">
      <w:pPr>
        <w:pStyle w:val="10"/>
        <w:spacing w:before="40" w:after="40" w:line="288" w:lineRule="auto"/>
        <w:ind w:left="420" w:right="0"/>
        <w:rPr>
          <w:rFonts w:ascii="Arial" w:hAnsi="Arial" w:eastAsia="等线"/>
          <w:sz w:val="24"/>
        </w:rPr>
      </w:pPr>
      <w:r>
        <w:rPr>
          <w:rFonts w:ascii="Arial" w:hAnsi="Arial" w:eastAsia="等线"/>
          <w:sz w:val="24"/>
        </w:rPr>
        <w:t>5.3 响应结果</w:t>
      </w:r>
      <w:r>
        <w:rPr>
          <w:rFonts w:ascii="Arial" w:hAnsi="Arial" w:eastAsia="等线"/>
          <w:sz w:val="24"/>
        </w:rPr>
        <w:tab/>
      </w:r>
      <w:r>
        <w:rPr>
          <w:rFonts w:ascii="Arial" w:hAnsi="Arial" w:eastAsia="等线"/>
          <w:sz w:val="24"/>
        </w:rPr>
        <w:t>42</w:t>
      </w:r>
    </w:p>
    <w:p w14:paraId="429EEFC8">
      <w:pPr>
        <w:pStyle w:val="10"/>
        <w:spacing w:before="40" w:after="40" w:line="288" w:lineRule="auto"/>
        <w:ind w:left="420" w:right="0"/>
        <w:rPr>
          <w:rFonts w:ascii="Arial" w:hAnsi="Arial" w:eastAsia="等线"/>
          <w:sz w:val="24"/>
        </w:rPr>
      </w:pPr>
      <w:r>
        <w:rPr>
          <w:rFonts w:ascii="Arial" w:hAnsi="Arial" w:eastAsia="等线"/>
          <w:sz w:val="24"/>
        </w:rPr>
        <w:t>5.4 负荷预测</w:t>
      </w:r>
      <w:r>
        <w:rPr>
          <w:rFonts w:ascii="Arial" w:hAnsi="Arial" w:eastAsia="等线"/>
          <w:sz w:val="24"/>
        </w:rPr>
        <w:tab/>
      </w:r>
      <w:r>
        <w:rPr>
          <w:rFonts w:ascii="Arial" w:hAnsi="Arial" w:eastAsia="等线"/>
          <w:sz w:val="24"/>
        </w:rPr>
        <w:t>44</w:t>
      </w:r>
    </w:p>
    <w:p w14:paraId="085AEB24">
      <w:pPr>
        <w:pStyle w:val="9"/>
        <w:spacing w:before="60" w:after="60" w:line="288" w:lineRule="auto"/>
        <w:rPr>
          <w:rFonts w:ascii="Arial" w:hAnsi="Arial" w:eastAsia="等线"/>
          <w:sz w:val="24"/>
        </w:rPr>
      </w:pPr>
      <w:r>
        <w:rPr>
          <w:rFonts w:ascii="Arial" w:hAnsi="Arial" w:eastAsia="等线"/>
          <w:sz w:val="24"/>
        </w:rPr>
        <w:t>6 复盘分析</w:t>
      </w:r>
      <w:r>
        <w:rPr>
          <w:rFonts w:ascii="Arial" w:hAnsi="Arial" w:eastAsia="等线"/>
          <w:sz w:val="24"/>
        </w:rPr>
        <w:tab/>
      </w:r>
      <w:r>
        <w:rPr>
          <w:rFonts w:ascii="Arial" w:hAnsi="Arial" w:eastAsia="等线"/>
          <w:sz w:val="24"/>
        </w:rPr>
        <w:t>46</w:t>
      </w:r>
    </w:p>
    <w:p w14:paraId="2BB9DEDF">
      <w:pPr>
        <w:pStyle w:val="10"/>
        <w:spacing w:before="40" w:after="40" w:line="288" w:lineRule="auto"/>
        <w:ind w:left="420" w:right="0"/>
        <w:rPr>
          <w:rFonts w:ascii="Arial" w:hAnsi="Arial" w:eastAsia="等线"/>
          <w:sz w:val="24"/>
        </w:rPr>
      </w:pPr>
      <w:r>
        <w:rPr>
          <w:rFonts w:ascii="Arial" w:hAnsi="Arial" w:eastAsia="等线"/>
          <w:sz w:val="24"/>
        </w:rPr>
        <w:t>6.1 日清算报告</w:t>
      </w:r>
      <w:r>
        <w:rPr>
          <w:rFonts w:ascii="Arial" w:hAnsi="Arial" w:eastAsia="等线"/>
          <w:sz w:val="24"/>
        </w:rPr>
        <w:tab/>
      </w:r>
      <w:r>
        <w:rPr>
          <w:rFonts w:ascii="Arial" w:hAnsi="Arial" w:eastAsia="等线"/>
          <w:sz w:val="24"/>
        </w:rPr>
        <w:t>46</w:t>
      </w:r>
    </w:p>
    <w:p w14:paraId="3626EE58">
      <w:pPr>
        <w:pStyle w:val="10"/>
        <w:spacing w:before="40" w:after="40" w:line="288" w:lineRule="auto"/>
        <w:ind w:left="420" w:right="0"/>
        <w:rPr>
          <w:rFonts w:ascii="Arial" w:hAnsi="Arial" w:eastAsia="等线"/>
          <w:sz w:val="24"/>
        </w:rPr>
      </w:pPr>
      <w:r>
        <w:rPr>
          <w:rFonts w:ascii="Arial" w:hAnsi="Arial" w:eastAsia="等线"/>
          <w:sz w:val="24"/>
        </w:rPr>
        <w:t>6.2 算法策略复盘</w:t>
      </w:r>
      <w:r>
        <w:rPr>
          <w:rFonts w:ascii="Arial" w:hAnsi="Arial" w:eastAsia="等线"/>
          <w:sz w:val="24"/>
        </w:rPr>
        <w:tab/>
      </w:r>
      <w:r>
        <w:rPr>
          <w:rFonts w:ascii="Arial" w:hAnsi="Arial" w:eastAsia="等线"/>
          <w:sz w:val="24"/>
        </w:rPr>
        <w:t>48</w:t>
      </w:r>
    </w:p>
    <w:p w14:paraId="2A3E1D18">
      <w:pPr>
        <w:pStyle w:val="10"/>
        <w:spacing w:before="40" w:after="40" w:line="288" w:lineRule="auto"/>
        <w:ind w:left="420" w:right="0"/>
        <w:rPr>
          <w:rFonts w:ascii="Arial" w:hAnsi="Arial" w:eastAsia="等线"/>
          <w:sz w:val="24"/>
        </w:rPr>
      </w:pPr>
      <w:r>
        <w:rPr>
          <w:rFonts w:ascii="Arial" w:hAnsi="Arial" w:eastAsia="等线"/>
          <w:sz w:val="24"/>
        </w:rPr>
        <w:t>6.3 现货交易复盘</w:t>
      </w:r>
      <w:r>
        <w:rPr>
          <w:rFonts w:ascii="Arial" w:hAnsi="Arial" w:eastAsia="等线"/>
          <w:sz w:val="24"/>
        </w:rPr>
        <w:tab/>
      </w:r>
      <w:r>
        <w:rPr>
          <w:rFonts w:ascii="Arial" w:hAnsi="Arial" w:eastAsia="等线"/>
          <w:sz w:val="24"/>
        </w:rPr>
        <w:t>50</w:t>
      </w:r>
    </w:p>
    <w:p w14:paraId="280438D5">
      <w:pPr>
        <w:pStyle w:val="10"/>
        <w:spacing w:before="40" w:after="40" w:line="288" w:lineRule="auto"/>
        <w:ind w:left="420" w:right="0"/>
        <w:rPr>
          <w:rFonts w:ascii="Arial" w:hAnsi="Arial" w:eastAsia="等线"/>
          <w:sz w:val="24"/>
        </w:rPr>
      </w:pPr>
      <w:r>
        <w:rPr>
          <w:rFonts w:ascii="Arial" w:hAnsi="Arial" w:eastAsia="等线"/>
          <w:sz w:val="24"/>
        </w:rPr>
        <w:t>6.4 中长期交易复盘</w:t>
      </w:r>
      <w:r>
        <w:rPr>
          <w:rFonts w:ascii="Arial" w:hAnsi="Arial" w:eastAsia="等线"/>
          <w:sz w:val="24"/>
        </w:rPr>
        <w:tab/>
      </w:r>
      <w:r>
        <w:rPr>
          <w:rFonts w:ascii="Arial" w:hAnsi="Arial" w:eastAsia="等线"/>
          <w:sz w:val="24"/>
        </w:rPr>
        <w:t>56</w:t>
      </w:r>
    </w:p>
    <w:p w14:paraId="285B9725">
      <w:pPr>
        <w:pStyle w:val="10"/>
        <w:spacing w:before="40" w:after="40" w:line="288" w:lineRule="auto"/>
        <w:ind w:left="420" w:right="0"/>
        <w:rPr>
          <w:rFonts w:ascii="Arial" w:hAnsi="Arial" w:eastAsia="等线"/>
          <w:sz w:val="24"/>
        </w:rPr>
      </w:pPr>
      <w:r>
        <w:rPr>
          <w:rFonts w:ascii="Arial" w:hAnsi="Arial" w:eastAsia="等线"/>
          <w:sz w:val="24"/>
        </w:rPr>
        <w:t>6.5 交易滚动监控</w:t>
      </w:r>
      <w:r>
        <w:rPr>
          <w:rFonts w:ascii="Arial" w:hAnsi="Arial" w:eastAsia="等线"/>
          <w:sz w:val="24"/>
        </w:rPr>
        <w:tab/>
      </w:r>
      <w:r>
        <w:rPr>
          <w:rFonts w:ascii="Arial" w:hAnsi="Arial" w:eastAsia="等线"/>
          <w:sz w:val="24"/>
        </w:rPr>
        <w:t>58</w:t>
      </w:r>
    </w:p>
    <w:p w14:paraId="1F6B3642">
      <w:pPr>
        <w:pStyle w:val="9"/>
        <w:spacing w:before="60" w:after="60" w:line="288" w:lineRule="auto"/>
        <w:rPr>
          <w:rFonts w:ascii="Arial" w:hAnsi="Arial" w:eastAsia="等线"/>
          <w:sz w:val="24"/>
        </w:rPr>
      </w:pPr>
      <w:r>
        <w:rPr>
          <w:rFonts w:ascii="Arial" w:hAnsi="Arial" w:eastAsia="等线"/>
          <w:sz w:val="24"/>
        </w:rPr>
        <w:t>7 结算管理</w:t>
      </w:r>
      <w:r>
        <w:rPr>
          <w:rFonts w:ascii="Arial" w:hAnsi="Arial" w:eastAsia="等线"/>
          <w:sz w:val="24"/>
        </w:rPr>
        <w:tab/>
      </w:r>
      <w:r>
        <w:rPr>
          <w:rFonts w:ascii="Arial" w:hAnsi="Arial" w:eastAsia="等线"/>
          <w:sz w:val="24"/>
        </w:rPr>
        <w:t>61</w:t>
      </w:r>
    </w:p>
    <w:p w14:paraId="2D19792C">
      <w:pPr>
        <w:pStyle w:val="10"/>
        <w:spacing w:before="40" w:after="40" w:line="288" w:lineRule="auto"/>
        <w:ind w:left="420" w:right="0"/>
        <w:rPr>
          <w:rFonts w:ascii="Arial" w:hAnsi="Arial" w:eastAsia="等线"/>
          <w:sz w:val="24"/>
        </w:rPr>
      </w:pPr>
      <w:r>
        <w:rPr>
          <w:rFonts w:ascii="Arial" w:hAnsi="Arial" w:eastAsia="等线"/>
          <w:sz w:val="24"/>
        </w:rPr>
        <w:t>7.1 批发侧结算</w:t>
      </w:r>
      <w:r>
        <w:rPr>
          <w:rFonts w:ascii="Arial" w:hAnsi="Arial" w:eastAsia="等线"/>
          <w:sz w:val="24"/>
        </w:rPr>
        <w:tab/>
      </w:r>
      <w:r>
        <w:rPr>
          <w:rFonts w:ascii="Arial" w:hAnsi="Arial" w:eastAsia="等线"/>
          <w:sz w:val="24"/>
        </w:rPr>
        <w:t>61</w:t>
      </w:r>
    </w:p>
    <w:p w14:paraId="4A500AC7">
      <w:pPr>
        <w:pStyle w:val="10"/>
        <w:spacing w:before="40" w:after="40" w:line="288" w:lineRule="auto"/>
        <w:ind w:left="420" w:right="0"/>
        <w:rPr>
          <w:rFonts w:ascii="Arial" w:hAnsi="Arial" w:eastAsia="等线"/>
          <w:sz w:val="24"/>
        </w:rPr>
      </w:pPr>
      <w:r>
        <w:rPr>
          <w:rFonts w:ascii="Arial" w:hAnsi="Arial" w:eastAsia="等线"/>
          <w:sz w:val="24"/>
        </w:rPr>
        <w:t>7.2 零售侧结算</w:t>
      </w:r>
      <w:r>
        <w:rPr>
          <w:rFonts w:ascii="Arial" w:hAnsi="Arial" w:eastAsia="等线"/>
          <w:sz w:val="24"/>
        </w:rPr>
        <w:tab/>
      </w:r>
      <w:r>
        <w:rPr>
          <w:rFonts w:ascii="Arial" w:hAnsi="Arial" w:eastAsia="等线"/>
          <w:sz w:val="24"/>
        </w:rPr>
        <w:t>62</w:t>
      </w:r>
    </w:p>
    <w:p w14:paraId="4AC95EF4">
      <w:pPr>
        <w:pStyle w:val="10"/>
        <w:spacing w:before="40" w:after="40" w:line="288" w:lineRule="auto"/>
        <w:ind w:left="420" w:right="0"/>
        <w:rPr>
          <w:rFonts w:ascii="Arial" w:hAnsi="Arial" w:eastAsia="等线"/>
          <w:sz w:val="24"/>
        </w:rPr>
      </w:pPr>
      <w:r>
        <w:rPr>
          <w:rFonts w:ascii="Arial" w:hAnsi="Arial" w:eastAsia="等线"/>
          <w:sz w:val="24"/>
        </w:rPr>
        <w:t>7.3 需求响应结算</w:t>
      </w:r>
      <w:r>
        <w:rPr>
          <w:rFonts w:ascii="Arial" w:hAnsi="Arial" w:eastAsia="等线"/>
          <w:sz w:val="24"/>
        </w:rPr>
        <w:tab/>
      </w:r>
      <w:r>
        <w:rPr>
          <w:rFonts w:ascii="Arial" w:hAnsi="Arial" w:eastAsia="等线"/>
          <w:sz w:val="24"/>
        </w:rPr>
        <w:t>63</w:t>
      </w:r>
    </w:p>
    <w:p w14:paraId="1905CF52">
      <w:pPr>
        <w:pStyle w:val="9"/>
        <w:spacing w:before="60" w:after="60" w:line="288" w:lineRule="auto"/>
        <w:rPr>
          <w:rFonts w:ascii="Arial" w:hAnsi="Arial" w:eastAsia="等线"/>
          <w:sz w:val="24"/>
        </w:rPr>
      </w:pPr>
      <w:r>
        <w:rPr>
          <w:rFonts w:ascii="Arial" w:hAnsi="Arial" w:eastAsia="等线"/>
          <w:sz w:val="24"/>
        </w:rPr>
        <w:t>8 平台服务</w:t>
      </w:r>
      <w:r>
        <w:rPr>
          <w:rFonts w:ascii="Arial" w:hAnsi="Arial" w:eastAsia="等线"/>
          <w:sz w:val="24"/>
        </w:rPr>
        <w:tab/>
      </w:r>
      <w:r>
        <w:rPr>
          <w:rFonts w:ascii="Arial" w:hAnsi="Arial" w:eastAsia="等线"/>
          <w:sz w:val="24"/>
        </w:rPr>
        <w:t>64</w:t>
      </w:r>
    </w:p>
    <w:p w14:paraId="6C979412">
      <w:pPr>
        <w:pStyle w:val="10"/>
        <w:spacing w:before="40" w:after="40" w:line="288" w:lineRule="auto"/>
        <w:ind w:left="420" w:right="0"/>
        <w:rPr>
          <w:rFonts w:ascii="Arial" w:hAnsi="Arial" w:eastAsia="等线"/>
          <w:sz w:val="24"/>
        </w:rPr>
      </w:pPr>
      <w:r>
        <w:rPr>
          <w:rFonts w:ascii="Arial" w:hAnsi="Arial" w:eastAsia="等线"/>
          <w:sz w:val="24"/>
        </w:rPr>
        <w:t>8.1 系统角色</w:t>
      </w:r>
      <w:r>
        <w:rPr>
          <w:rFonts w:ascii="Arial" w:hAnsi="Arial" w:eastAsia="等线"/>
          <w:sz w:val="24"/>
        </w:rPr>
        <w:tab/>
      </w:r>
      <w:r>
        <w:rPr>
          <w:rFonts w:ascii="Arial" w:hAnsi="Arial" w:eastAsia="等线"/>
          <w:sz w:val="24"/>
        </w:rPr>
        <w:t>64</w:t>
      </w:r>
    </w:p>
    <w:p w14:paraId="50867A73">
      <w:pPr>
        <w:pStyle w:val="10"/>
        <w:spacing w:before="40" w:after="40" w:line="288" w:lineRule="auto"/>
        <w:ind w:left="420" w:right="0"/>
        <w:rPr>
          <w:rFonts w:ascii="Arial" w:hAnsi="Arial" w:eastAsia="等线"/>
          <w:sz w:val="24"/>
        </w:rPr>
      </w:pPr>
      <w:r>
        <w:rPr>
          <w:rFonts w:ascii="Arial" w:hAnsi="Arial" w:eastAsia="等线"/>
          <w:sz w:val="24"/>
        </w:rPr>
        <w:t>8.2 账号权限</w:t>
      </w:r>
      <w:r>
        <w:rPr>
          <w:rFonts w:ascii="Arial" w:hAnsi="Arial" w:eastAsia="等线"/>
          <w:sz w:val="24"/>
        </w:rPr>
        <w:tab/>
      </w:r>
      <w:r>
        <w:rPr>
          <w:rFonts w:ascii="Arial" w:hAnsi="Arial" w:eastAsia="等线"/>
          <w:sz w:val="24"/>
        </w:rPr>
        <w:t>65</w:t>
      </w:r>
    </w:p>
    <w:p w14:paraId="5824E478">
      <w:pPr>
        <w:pStyle w:val="10"/>
        <w:spacing w:before="40" w:after="40" w:line="288" w:lineRule="auto"/>
        <w:ind w:left="420" w:right="0"/>
        <w:rPr>
          <w:rFonts w:ascii="Arial" w:hAnsi="Arial" w:eastAsia="等线"/>
          <w:sz w:val="24"/>
        </w:rPr>
      </w:pPr>
      <w:r>
        <w:rPr>
          <w:rFonts w:ascii="Arial" w:hAnsi="Arial" w:eastAsia="等线"/>
          <w:sz w:val="24"/>
        </w:rPr>
        <w:t>8.3 交易中心管理</w:t>
      </w:r>
      <w:r>
        <w:rPr>
          <w:rFonts w:ascii="Arial" w:hAnsi="Arial" w:eastAsia="等线"/>
          <w:sz w:val="24"/>
        </w:rPr>
        <w:tab/>
      </w:r>
      <w:r>
        <w:rPr>
          <w:rFonts w:ascii="Arial" w:hAnsi="Arial" w:eastAsia="等线"/>
          <w:sz w:val="24"/>
        </w:rPr>
        <w:t>67</w:t>
      </w:r>
    </w:p>
    <w:p w14:paraId="18B4292E">
      <w:pPr>
        <w:pStyle w:val="10"/>
        <w:spacing w:before="40" w:after="40" w:line="288" w:lineRule="auto"/>
        <w:ind w:left="420" w:right="0"/>
        <w:rPr>
          <w:rFonts w:ascii="Arial" w:hAnsi="Arial" w:eastAsia="等线"/>
          <w:sz w:val="24"/>
        </w:rPr>
      </w:pPr>
      <w:r>
        <w:rPr>
          <w:rFonts w:ascii="Arial" w:hAnsi="Arial" w:eastAsia="等线"/>
          <w:sz w:val="24"/>
        </w:rPr>
        <w:t>8.4 交易日历</w:t>
      </w:r>
      <w:r>
        <w:rPr>
          <w:rFonts w:ascii="Arial" w:hAnsi="Arial" w:eastAsia="等线"/>
          <w:sz w:val="24"/>
        </w:rPr>
        <w:tab/>
      </w:r>
      <w:r>
        <w:rPr>
          <w:rFonts w:ascii="Arial" w:hAnsi="Arial" w:eastAsia="等线"/>
          <w:sz w:val="24"/>
        </w:rPr>
        <w:t>69</w:t>
      </w:r>
    </w:p>
    <w:p w14:paraId="546E9253">
      <w:pPr>
        <w:pStyle w:val="10"/>
        <w:spacing w:before="40" w:after="40" w:line="288" w:lineRule="auto"/>
        <w:ind w:left="420" w:right="0"/>
        <w:rPr>
          <w:rFonts w:ascii="Arial" w:hAnsi="Arial" w:eastAsia="等线"/>
          <w:sz w:val="24"/>
        </w:rPr>
      </w:pPr>
      <w:r>
        <w:rPr>
          <w:rFonts w:ascii="Arial" w:hAnsi="Arial" w:eastAsia="等线"/>
          <w:sz w:val="24"/>
        </w:rPr>
        <w:t>8.5 节假日管理</w:t>
      </w:r>
      <w:r>
        <w:rPr>
          <w:rFonts w:ascii="Arial" w:hAnsi="Arial" w:eastAsia="等线"/>
          <w:sz w:val="24"/>
        </w:rPr>
        <w:tab/>
      </w:r>
      <w:r>
        <w:rPr>
          <w:rFonts w:ascii="Arial" w:hAnsi="Arial" w:eastAsia="等线"/>
          <w:sz w:val="24"/>
        </w:rPr>
        <w:t>70</w:t>
      </w:r>
    </w:p>
    <w:p w14:paraId="0853C3F2">
      <w:pPr>
        <w:pStyle w:val="10"/>
        <w:spacing w:before="40" w:after="40" w:line="288" w:lineRule="auto"/>
        <w:ind w:left="420" w:right="0"/>
        <w:rPr>
          <w:rFonts w:ascii="Arial" w:hAnsi="Arial" w:eastAsia="等线"/>
          <w:sz w:val="24"/>
        </w:rPr>
      </w:pPr>
      <w:r>
        <w:rPr>
          <w:rFonts w:ascii="Arial" w:hAnsi="Arial" w:eastAsia="等线"/>
          <w:sz w:val="24"/>
        </w:rPr>
        <w:t>8.6 典型曲线</w:t>
      </w:r>
      <w:r>
        <w:rPr>
          <w:rFonts w:ascii="Arial" w:hAnsi="Arial" w:eastAsia="等线"/>
          <w:sz w:val="24"/>
        </w:rPr>
        <w:tab/>
      </w:r>
      <w:r>
        <w:rPr>
          <w:rFonts w:ascii="Arial" w:hAnsi="Arial" w:eastAsia="等线"/>
          <w:sz w:val="24"/>
        </w:rPr>
        <w:t>70</w:t>
      </w:r>
    </w:p>
    <w:p w14:paraId="6AF47507">
      <w:pPr>
        <w:pStyle w:val="10"/>
        <w:spacing w:before="40" w:after="40" w:line="288" w:lineRule="auto"/>
        <w:ind w:left="420" w:right="0"/>
        <w:rPr>
          <w:rFonts w:ascii="Arial" w:hAnsi="Arial" w:eastAsia="等线"/>
          <w:sz w:val="24"/>
        </w:rPr>
      </w:pPr>
      <w:r>
        <w:rPr>
          <w:rFonts w:ascii="Arial" w:hAnsi="Arial" w:eastAsia="等线"/>
          <w:sz w:val="24"/>
        </w:rPr>
        <w:t>8.7 合同套餐</w:t>
      </w:r>
      <w:r>
        <w:rPr>
          <w:rFonts w:ascii="Arial" w:hAnsi="Arial" w:eastAsia="等线"/>
          <w:sz w:val="24"/>
        </w:rPr>
        <w:tab/>
      </w:r>
      <w:r>
        <w:rPr>
          <w:rFonts w:ascii="Arial" w:hAnsi="Arial" w:eastAsia="等线"/>
          <w:sz w:val="24"/>
        </w:rPr>
        <w:t>71</w:t>
      </w:r>
    </w:p>
    <w:p w14:paraId="7875702C">
      <w:pPr>
        <w:pStyle w:val="10"/>
        <w:spacing w:before="40" w:after="40" w:line="288" w:lineRule="auto"/>
        <w:ind w:left="420" w:right="0"/>
        <w:rPr>
          <w:rFonts w:ascii="Arial" w:hAnsi="Arial" w:eastAsia="等线"/>
          <w:sz w:val="24"/>
        </w:rPr>
      </w:pPr>
      <w:r>
        <w:rPr>
          <w:rFonts w:ascii="Arial" w:hAnsi="Arial" w:eastAsia="等线"/>
          <w:sz w:val="24"/>
        </w:rPr>
        <w:t>8.8 月度市场参数</w:t>
      </w:r>
      <w:r>
        <w:rPr>
          <w:rFonts w:ascii="Arial" w:hAnsi="Arial" w:eastAsia="等线"/>
          <w:sz w:val="24"/>
        </w:rPr>
        <w:tab/>
      </w:r>
      <w:r>
        <w:rPr>
          <w:rFonts w:ascii="Arial" w:hAnsi="Arial" w:eastAsia="等线"/>
          <w:sz w:val="24"/>
        </w:rPr>
        <w:t>71</w:t>
      </w:r>
    </w:p>
    <w:p w14:paraId="08892D62">
      <w:pPr>
        <w:pStyle w:val="10"/>
        <w:spacing w:before="40" w:after="40" w:line="288" w:lineRule="auto"/>
        <w:ind w:left="420" w:right="0"/>
        <w:rPr>
          <w:rFonts w:ascii="Arial" w:hAnsi="Arial" w:eastAsia="等线"/>
          <w:sz w:val="24"/>
        </w:rPr>
      </w:pPr>
      <w:r>
        <w:rPr>
          <w:rFonts w:ascii="Arial" w:hAnsi="Arial" w:eastAsia="等线"/>
          <w:sz w:val="24"/>
        </w:rPr>
        <w:t>8.9 现货市场电价</w:t>
      </w:r>
      <w:r>
        <w:rPr>
          <w:rFonts w:ascii="Arial" w:hAnsi="Arial" w:eastAsia="等线"/>
          <w:sz w:val="24"/>
        </w:rPr>
        <w:tab/>
      </w:r>
      <w:r>
        <w:rPr>
          <w:rFonts w:ascii="Arial" w:hAnsi="Arial" w:eastAsia="等线"/>
          <w:sz w:val="24"/>
        </w:rPr>
        <w:t>72</w:t>
      </w:r>
    </w:p>
    <w:p w14:paraId="3FF26EC1">
      <w:pPr>
        <w:pStyle w:val="10"/>
        <w:spacing w:before="40" w:after="40" w:line="288" w:lineRule="auto"/>
        <w:ind w:left="420" w:right="0"/>
        <w:rPr>
          <w:rFonts w:ascii="Arial" w:hAnsi="Arial" w:eastAsia="等线"/>
          <w:sz w:val="24"/>
        </w:rPr>
      </w:pPr>
      <w:r>
        <w:rPr>
          <w:rFonts w:ascii="Arial" w:hAnsi="Arial" w:eastAsia="等线"/>
          <w:sz w:val="24"/>
        </w:rPr>
        <w:t>8.10 电价预测披露</w:t>
      </w:r>
      <w:r>
        <w:rPr>
          <w:rFonts w:ascii="Arial" w:hAnsi="Arial" w:eastAsia="等线"/>
          <w:sz w:val="24"/>
        </w:rPr>
        <w:tab/>
      </w:r>
      <w:r>
        <w:rPr>
          <w:rFonts w:ascii="Arial" w:hAnsi="Arial" w:eastAsia="等线"/>
          <w:sz w:val="24"/>
        </w:rPr>
        <w:t>73</w:t>
      </w:r>
    </w:p>
    <w:p w14:paraId="3E85A597">
      <w:pPr>
        <w:pStyle w:val="10"/>
        <w:spacing w:before="40" w:after="40" w:line="288" w:lineRule="auto"/>
        <w:ind w:left="420" w:right="0"/>
        <w:rPr>
          <w:rFonts w:ascii="Arial" w:hAnsi="Arial" w:eastAsia="等线"/>
          <w:sz w:val="24"/>
        </w:rPr>
      </w:pPr>
      <w:r>
        <w:rPr>
          <w:rFonts w:ascii="Arial" w:hAnsi="Arial" w:eastAsia="等线"/>
          <w:sz w:val="24"/>
        </w:rPr>
        <w:t>8.11 电网预测信息</w:t>
      </w:r>
      <w:r>
        <w:rPr>
          <w:rFonts w:ascii="Arial" w:hAnsi="Arial" w:eastAsia="等线"/>
          <w:sz w:val="24"/>
        </w:rPr>
        <w:tab/>
      </w:r>
      <w:r>
        <w:rPr>
          <w:rFonts w:ascii="Arial" w:hAnsi="Arial" w:eastAsia="等线"/>
          <w:sz w:val="24"/>
        </w:rPr>
        <w:t>74</w:t>
      </w:r>
    </w:p>
    <w:p w14:paraId="472520F0">
      <w:pPr>
        <w:pStyle w:val="10"/>
        <w:spacing w:before="40" w:after="40" w:line="288" w:lineRule="auto"/>
        <w:ind w:left="420" w:right="0"/>
        <w:rPr>
          <w:rFonts w:ascii="Arial" w:hAnsi="Arial" w:eastAsia="等线"/>
          <w:sz w:val="24"/>
        </w:rPr>
      </w:pPr>
      <w:r>
        <w:rPr>
          <w:rFonts w:ascii="Arial" w:hAnsi="Arial" w:eastAsia="等线"/>
          <w:sz w:val="24"/>
        </w:rPr>
        <w:t>8.12 电网实际信息</w:t>
      </w:r>
      <w:r>
        <w:rPr>
          <w:rFonts w:ascii="Arial" w:hAnsi="Arial" w:eastAsia="等线"/>
          <w:sz w:val="24"/>
        </w:rPr>
        <w:tab/>
      </w:r>
      <w:r>
        <w:rPr>
          <w:rFonts w:ascii="Arial" w:hAnsi="Arial" w:eastAsia="等线"/>
          <w:sz w:val="24"/>
        </w:rPr>
        <w:t>74</w:t>
      </w:r>
    </w:p>
    <w:p w14:paraId="2983476E">
      <w:pPr>
        <w:pStyle w:val="10"/>
        <w:spacing w:before="40" w:after="40" w:line="288" w:lineRule="auto"/>
        <w:ind w:left="420" w:right="0"/>
        <w:rPr>
          <w:rFonts w:ascii="Arial" w:hAnsi="Arial" w:eastAsia="等线"/>
          <w:sz w:val="24"/>
        </w:rPr>
      </w:pPr>
      <w:r>
        <w:rPr>
          <w:rFonts w:ascii="Arial" w:hAnsi="Arial" w:eastAsia="等线"/>
          <w:sz w:val="24"/>
        </w:rPr>
        <w:t>8.13 电价分组</w:t>
      </w:r>
      <w:r>
        <w:rPr>
          <w:rFonts w:ascii="Arial" w:hAnsi="Arial" w:eastAsia="等线"/>
          <w:sz w:val="24"/>
        </w:rPr>
        <w:tab/>
      </w:r>
      <w:r>
        <w:rPr>
          <w:rFonts w:ascii="Arial" w:hAnsi="Arial" w:eastAsia="等线"/>
          <w:sz w:val="24"/>
        </w:rPr>
        <w:t>75</w:t>
      </w:r>
    </w:p>
    <w:p w14:paraId="6D7791DB">
      <w:pPr>
        <w:pStyle w:val="10"/>
        <w:spacing w:before="40" w:after="40" w:line="288" w:lineRule="auto"/>
        <w:ind w:left="420" w:right="0"/>
        <w:rPr>
          <w:rFonts w:ascii="Arial" w:hAnsi="Arial" w:eastAsia="等线"/>
          <w:sz w:val="24"/>
        </w:rPr>
      </w:pPr>
      <w:r>
        <w:rPr>
          <w:rFonts w:ascii="Arial" w:hAnsi="Arial" w:eastAsia="等线"/>
          <w:sz w:val="24"/>
        </w:rPr>
        <w:t>8.14 月度电价配置</w:t>
      </w:r>
      <w:r>
        <w:rPr>
          <w:rFonts w:ascii="Arial" w:hAnsi="Arial" w:eastAsia="等线"/>
          <w:sz w:val="24"/>
        </w:rPr>
        <w:tab/>
      </w:r>
      <w:r>
        <w:rPr>
          <w:rFonts w:ascii="Arial" w:hAnsi="Arial" w:eastAsia="等线"/>
          <w:sz w:val="24"/>
        </w:rPr>
        <w:t>76</w:t>
      </w:r>
    </w:p>
    <w:p w14:paraId="15C0793C">
      <w:pPr>
        <w:pStyle w:val="2"/>
        <w:keepNext w:val="0"/>
        <w:keepLines w:val="0"/>
        <w:widowControl/>
        <w:suppressLineNumbers w:val="0"/>
        <w:outlineLvl w:val="0"/>
      </w:pPr>
      <w:bookmarkStart w:id="1" w:name="heading_169"/>
      <w:bookmarkStart w:id="2" w:name="_Toc12846"/>
      <w:r>
        <w:rPr>
          <w:rFonts w:ascii="Arial" w:hAnsi="Arial" w:eastAsia="等线" w:cs="Arial"/>
          <w:b/>
          <w:sz w:val="36"/>
          <w:szCs w:val="36"/>
        </w:rPr>
        <w:t>一、平台简介</w:t>
      </w:r>
    </w:p>
    <w:p w14:paraId="376EF90C">
      <w:pPr>
        <w:pStyle w:val="3"/>
        <w:keepNext w:val="0"/>
        <w:keepLines w:val="0"/>
        <w:widowControl/>
        <w:suppressLineNumbers w:val="0"/>
      </w:pPr>
      <w:r>
        <w:t>概述</w:t>
      </w:r>
    </w:p>
    <w:p w14:paraId="76A8CC83">
      <w:pPr>
        <w:keepNext w:val="0"/>
        <w:keepLines w:val="0"/>
        <w:widowControl/>
        <w:suppressLineNumbers w:val="0"/>
        <w:ind w:left="0" w:firstLine="420"/>
        <w:jc w:val="left"/>
      </w:pPr>
      <w:r>
        <w:rPr>
          <w:rStyle w:val="16"/>
          <w:rFonts w:ascii="宋体" w:hAnsi="宋体" w:eastAsia="宋体" w:cs="宋体"/>
          <w:kern w:val="0"/>
          <w:sz w:val="24"/>
          <w:szCs w:val="24"/>
          <w:lang w:val="en-US" w:eastAsia="zh-CN" w:bidi="ar"/>
        </w:rPr>
        <w:t>太乙交易平台</w:t>
      </w:r>
      <w:r>
        <w:rPr>
          <w:rFonts w:ascii="宋体" w:hAnsi="宋体" w:eastAsia="宋体" w:cs="宋体"/>
          <w:kern w:val="0"/>
          <w:sz w:val="24"/>
          <w:szCs w:val="24"/>
          <w:lang w:val="en-US" w:eastAsia="zh-CN" w:bidi="ar"/>
        </w:rPr>
        <w:t>在双碳与电力市场化背景下，依托电力交易与能源管理工具，支持企业业务闭环与能效提升，专注于系统级电力交易与能源管理业务效率提升与优化。数据大屏+购售电+源荷互动+辅助服务的一站式电力交易业务管理平台。支持企业电力交易业务闭环与能效提升。让电力交易更简单；智慧能源系统依托CCS能源控制器，结合场站智能调度监控软件，对场站的光伏、储能、充电、配电设备进行能量管理、有序调度管理，同时接收云端调度指令，实现场站的全方位管控。</w:t>
      </w:r>
    </w:p>
    <w:p w14:paraId="7E1D209D">
      <w:pPr>
        <w:keepNext w:val="0"/>
        <w:keepLines w:val="0"/>
        <w:widowControl/>
        <w:suppressLineNumbers w:val="0"/>
        <w:ind w:left="0" w:firstLine="420"/>
        <w:jc w:val="left"/>
      </w:pPr>
      <w:r>
        <w:rPr>
          <w:rFonts w:ascii="宋体" w:hAnsi="宋体" w:eastAsia="宋体" w:cs="宋体"/>
          <w:kern w:val="0"/>
          <w:sz w:val="24"/>
          <w:szCs w:val="24"/>
          <w:lang w:val="en-US" w:eastAsia="zh-CN" w:bidi="ar"/>
        </w:rPr>
        <w:t>同时，太乙交易平台兼具为后续版本将要实现的数据自动化、数据智能化、数据智慧化提供基础数据支撑作用，这包括：</w:t>
      </w:r>
      <w:r>
        <w:rPr>
          <w:rStyle w:val="16"/>
          <w:rFonts w:ascii="宋体" w:hAnsi="宋体" w:eastAsia="宋体" w:cs="宋体"/>
          <w:kern w:val="0"/>
          <w:sz w:val="24"/>
          <w:szCs w:val="24"/>
          <w:lang w:val="en-US" w:eastAsia="zh-CN" w:bidi="ar"/>
        </w:rPr>
        <w:t>数据自动化</w:t>
      </w:r>
      <w:r>
        <w:rPr>
          <w:rFonts w:ascii="宋体" w:hAnsi="宋体" w:eastAsia="宋体" w:cs="宋体"/>
          <w:kern w:val="0"/>
          <w:sz w:val="24"/>
          <w:szCs w:val="24"/>
          <w:lang w:val="en-US" w:eastAsia="zh-CN" w:bidi="ar"/>
        </w:rPr>
        <w:t>：实现数据图表化、结算线上自动化，并打造移动端资讯发布及需求申报等功能；</w:t>
      </w:r>
      <w:r>
        <w:rPr>
          <w:rStyle w:val="16"/>
          <w:rFonts w:ascii="宋体" w:hAnsi="宋体" w:eastAsia="宋体" w:cs="宋体"/>
          <w:kern w:val="0"/>
          <w:sz w:val="24"/>
          <w:szCs w:val="24"/>
          <w:lang w:val="en-US" w:eastAsia="zh-CN" w:bidi="ar"/>
        </w:rPr>
        <w:t>数据智能化</w:t>
      </w:r>
      <w:r>
        <w:rPr>
          <w:rFonts w:ascii="宋体" w:hAnsi="宋体" w:eastAsia="宋体" w:cs="宋体"/>
          <w:kern w:val="0"/>
          <w:sz w:val="24"/>
          <w:szCs w:val="24"/>
          <w:lang w:val="en-US" w:eastAsia="zh-CN" w:bidi="ar"/>
        </w:rPr>
        <w:t>：打通电力交易云和能源管理云，电力交易云根据能量管理云对于供调控场所的电力预测发布交易计划，由能量管理云反馈调控情况，实现由传统的“人工经验决策”向“智能化交易”的转变，全面提高电力交易工作的决策分析水平；</w:t>
      </w:r>
      <w:r>
        <w:rPr>
          <w:rStyle w:val="16"/>
          <w:rFonts w:ascii="宋体" w:hAnsi="宋体" w:eastAsia="宋体" w:cs="宋体"/>
          <w:kern w:val="0"/>
          <w:sz w:val="24"/>
          <w:szCs w:val="24"/>
          <w:lang w:val="en-US" w:eastAsia="zh-CN" w:bidi="ar"/>
        </w:rPr>
        <w:t>数据智慧化</w:t>
      </w:r>
      <w:r>
        <w:rPr>
          <w:rFonts w:ascii="宋体" w:hAnsi="宋体" w:eastAsia="宋体" w:cs="宋体"/>
          <w:kern w:val="0"/>
          <w:sz w:val="24"/>
          <w:szCs w:val="24"/>
          <w:lang w:val="en-US" w:eastAsia="zh-CN" w:bidi="ar"/>
        </w:rPr>
        <w:t>：将把电力交易场景衍生到用户端，体现出信息咨询服务的价值，并为用户提供更为贴心优质的增值服务，比如预测供电情况、售电情况、电价等趋势行情，指导用电企业的生产与销售。同时，对电力用户的负荷特性和能耗进行汇总统计以及对标分析，发现问题并提出节能改进和改造建议。</w:t>
      </w:r>
    </w:p>
    <w:p w14:paraId="2DAE423A">
      <w:pPr>
        <w:pStyle w:val="3"/>
        <w:keepNext w:val="0"/>
        <w:keepLines w:val="0"/>
        <w:widowControl/>
        <w:suppressLineNumbers w:val="0"/>
      </w:pPr>
      <w:r>
        <w:t>功能</w:t>
      </w:r>
    </w:p>
    <w:p w14:paraId="5D6815E6">
      <w:pPr>
        <w:pStyle w:val="4"/>
        <w:keepNext w:val="0"/>
        <w:keepLines w:val="0"/>
        <w:widowControl/>
        <w:suppressLineNumbers w:val="0"/>
        <w:jc w:val="left"/>
      </w:pPr>
      <w:r>
        <w:t>登录</w:t>
      </w:r>
    </w:p>
    <w:p w14:paraId="0DB897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登录方式1：输入用户账号、登录密码，点击登录</w:t>
      </w:r>
    </w:p>
    <w:p w14:paraId="061BC6BF">
      <w:pPr>
        <w:keepNext w:val="0"/>
        <w:keepLines w:val="0"/>
        <w:widowControl/>
        <w:suppressLineNumbers w:val="0"/>
        <w:jc w:val="left"/>
        <w:rPr>
          <w:rFonts w:ascii="宋体" w:hAnsi="宋体" w:eastAsia="宋体" w:cs="宋体"/>
          <w:kern w:val="0"/>
          <w:sz w:val="24"/>
          <w:szCs w:val="24"/>
          <w:lang w:val="en-US" w:eastAsia="zh-CN" w:bidi="ar"/>
        </w:rPr>
      </w:pPr>
    </w:p>
    <w:p w14:paraId="261B64A8">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68595" cy="2736215"/>
            <wp:effectExtent l="0" t="0" r="8255" b="6985"/>
            <wp:docPr id="4" name="图片 4" descr="img_v3_0214g_27fb243f-c288-4a86-b286-6acb1726ad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14g_27fb243f-c288-4a86-b286-6acb1726addg"/>
                    <pic:cNvPicPr>
                      <a:picLocks noChangeAspect="1"/>
                    </pic:cNvPicPr>
                  </pic:nvPicPr>
                  <pic:blipFill>
                    <a:blip r:embed="rId6"/>
                    <a:stretch>
                      <a:fillRect/>
                    </a:stretch>
                  </pic:blipFill>
                  <pic:spPr>
                    <a:xfrm>
                      <a:off x="0" y="0"/>
                      <a:ext cx="5268595" cy="2736215"/>
                    </a:xfrm>
                    <a:prstGeom prst="rect">
                      <a:avLst/>
                    </a:prstGeom>
                  </pic:spPr>
                </pic:pic>
              </a:graphicData>
            </a:graphic>
          </wp:inline>
        </w:drawing>
      </w:r>
    </w:p>
    <w:p w14:paraId="0E73EA89">
      <w:pPr>
        <w:keepNext w:val="0"/>
        <w:keepLines w:val="0"/>
        <w:widowControl/>
        <w:suppressLineNumbers w:val="0"/>
        <w:jc w:val="left"/>
      </w:pPr>
      <w:r>
        <w:rPr>
          <w:rFonts w:ascii="宋体" w:hAnsi="宋体" w:eastAsia="宋体" w:cs="宋体"/>
          <w:kern w:val="0"/>
          <w:sz w:val="24"/>
          <w:szCs w:val="24"/>
          <w:lang w:val="en-US" w:eastAsia="zh-CN" w:bidi="ar"/>
        </w:rPr>
        <w:t>备注：初始账户由后台管理员提供，可以点击右下方“忘记密码”进行修改</w:t>
      </w:r>
    </w:p>
    <w:p w14:paraId="10497694">
      <w:pPr>
        <w:spacing w:before="320" w:after="120" w:line="288" w:lineRule="auto"/>
        <w:ind w:left="0"/>
        <w:jc w:val="left"/>
        <w:outlineLvl w:val="1"/>
        <w:rPr>
          <w:rFonts w:ascii="Arial" w:hAnsi="Arial" w:eastAsia="等线" w:cs="Arial"/>
          <w:b/>
          <w:sz w:val="36"/>
          <w:szCs w:val="36"/>
        </w:rPr>
      </w:pPr>
    </w:p>
    <w:p w14:paraId="5F48C6B6">
      <w:pPr>
        <w:spacing w:before="320" w:after="120" w:line="288" w:lineRule="auto"/>
        <w:ind w:left="0"/>
        <w:jc w:val="left"/>
        <w:outlineLvl w:val="1"/>
      </w:pPr>
      <w:r>
        <w:rPr>
          <w:rFonts w:ascii="Arial" w:hAnsi="Arial" w:eastAsia="等线" w:cs="Arial"/>
          <w:b/>
          <w:sz w:val="36"/>
          <w:szCs w:val="36"/>
        </w:rPr>
        <w:t>1</w:t>
      </w:r>
      <w:bookmarkEnd w:id="1"/>
      <w:r>
        <w:rPr>
          <w:rFonts w:ascii="Arial" w:hAnsi="Arial" w:eastAsia="等线" w:cs="Arial"/>
          <w:b/>
          <w:sz w:val="36"/>
          <w:szCs w:val="36"/>
        </w:rPr>
        <w:t>工作台</w:t>
      </w:r>
      <w:bookmarkEnd w:id="2"/>
    </w:p>
    <w:p w14:paraId="6FEC2D6B">
      <w:pPr>
        <w:spacing w:before="300" w:after="120" w:line="288" w:lineRule="auto"/>
        <w:ind w:left="0"/>
        <w:jc w:val="left"/>
        <w:outlineLvl w:val="2"/>
      </w:pPr>
      <w:bookmarkStart w:id="3" w:name="heading_170"/>
      <w:r>
        <w:rPr>
          <w:rFonts w:ascii="Arial" w:hAnsi="Arial" w:eastAsia="等线" w:cs="Arial"/>
          <w:b/>
          <w:sz w:val="30"/>
          <w:szCs w:val="30"/>
        </w:rPr>
        <w:t>1.1交易工作台</w:t>
      </w:r>
      <w:bookmarkEnd w:id="3"/>
    </w:p>
    <w:p w14:paraId="4BE7C0C3">
      <w:pPr>
        <w:spacing w:before="240" w:after="80" w:line="288" w:lineRule="auto"/>
        <w:outlineLvl w:val="3"/>
      </w:pPr>
      <w:r>
        <w:rPr>
          <w:rFonts w:ascii="Arial" w:hAnsi="Arial" w:eastAsia="等线" w:cs="Arial"/>
          <w:b/>
          <w:sz w:val="26"/>
          <w:szCs w:val="26"/>
        </w:rPr>
        <w:t>模块简介</w:t>
      </w:r>
    </w:p>
    <w:p w14:paraId="5FD67645">
      <w:pPr>
        <w:spacing w:before="240" w:after="80" w:line="288" w:lineRule="auto"/>
        <w:outlineLvl w:val="3"/>
      </w:pPr>
      <w:r>
        <w:rPr>
          <w:rFonts w:ascii="Arial" w:hAnsi="Arial" w:eastAsia="等线" w:cs="Arial"/>
          <w:b/>
          <w:sz w:val="26"/>
          <w:szCs w:val="26"/>
        </w:rPr>
        <w:t>操作说明</w:t>
      </w:r>
    </w:p>
    <w:p w14:paraId="2D044553">
      <w:pPr>
        <w:spacing w:before="120" w:after="120" w:line="288" w:lineRule="auto"/>
        <w:ind w:left="0" w:firstLine="0"/>
        <w:jc w:val="left"/>
      </w:pPr>
      <w:r>
        <w:rPr>
          <w:rFonts w:ascii="Arial" w:hAnsi="Arial" w:eastAsia="等线" w:cs="Arial"/>
          <w:sz w:val="22"/>
        </w:rPr>
        <w:t>本模块主要展示电力交易部分的相关数据与交易日历</w:t>
      </w:r>
    </w:p>
    <w:p w14:paraId="1819AE00">
      <w:pPr>
        <w:spacing w:before="120" w:after="120" w:line="288" w:lineRule="auto"/>
        <w:ind w:left="0"/>
        <w:jc w:val="center"/>
        <w:rPr>
          <w:rFonts w:hint="default"/>
        </w:rPr>
      </w:pPr>
      <w:r>
        <w:rPr>
          <w:rFonts w:hint="default"/>
        </w:rPr>
        <w:drawing>
          <wp:inline distT="0" distB="0" distL="114300" distR="114300">
            <wp:extent cx="5272405" cy="3046095"/>
            <wp:effectExtent l="0" t="0" r="4445" b="1905"/>
            <wp:docPr id="1280" name="图片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 name="图片 1280"/>
                    <pic:cNvPicPr>
                      <a:picLocks noChangeAspect="1"/>
                    </pic:cNvPicPr>
                  </pic:nvPicPr>
                  <pic:blipFill>
                    <a:blip r:embed="rId7"/>
                    <a:stretch>
                      <a:fillRect/>
                    </a:stretch>
                  </pic:blipFill>
                  <pic:spPr>
                    <a:xfrm>
                      <a:off x="0" y="0"/>
                      <a:ext cx="5272405" cy="3046095"/>
                    </a:xfrm>
                    <a:prstGeom prst="rect">
                      <a:avLst/>
                    </a:prstGeom>
                  </pic:spPr>
                </pic:pic>
              </a:graphicData>
            </a:graphic>
          </wp:inline>
        </w:drawing>
      </w:r>
    </w:p>
    <w:p w14:paraId="522F65B4">
      <w:pPr>
        <w:spacing w:before="120" w:after="120" w:line="288" w:lineRule="auto"/>
        <w:ind w:left="0" w:firstLine="0"/>
        <w:jc w:val="left"/>
      </w:pPr>
      <w:r>
        <w:rPr>
          <w:rFonts w:ascii="Arial" w:hAnsi="Arial" w:eastAsia="等线" w:cs="Arial"/>
          <w:sz w:val="22"/>
        </w:rPr>
        <w:t>（1）点击周/月切换展示方式，图内是选择为周的样式</w:t>
      </w:r>
    </w:p>
    <w:p w14:paraId="146154D5">
      <w:pPr>
        <w:spacing w:before="120" w:after="120" w:line="288" w:lineRule="auto"/>
        <w:ind w:left="0" w:firstLine="0"/>
        <w:jc w:val="left"/>
      </w:pPr>
      <w:r>
        <w:rPr>
          <w:rFonts w:ascii="Arial" w:hAnsi="Arial" w:eastAsia="等线" w:cs="Arial"/>
          <w:sz w:val="22"/>
        </w:rPr>
        <w:t>（2）点击日期的切换按照</w:t>
      </w:r>
    </w:p>
    <w:p w14:paraId="190A1B29">
      <w:pPr>
        <w:spacing w:before="320" w:after="120" w:line="288" w:lineRule="auto"/>
        <w:ind w:left="0"/>
        <w:jc w:val="left"/>
        <w:outlineLvl w:val="1"/>
        <w:rPr>
          <w:rFonts w:hint="eastAsia" w:eastAsia="等线"/>
          <w:lang w:eastAsia="zh"/>
        </w:rPr>
      </w:pPr>
      <w:bookmarkStart w:id="4" w:name="_Toc20087"/>
      <w:r>
        <w:rPr>
          <w:rFonts w:ascii="Arial" w:hAnsi="Arial" w:eastAsia="等线" w:cs="Arial"/>
          <w:b/>
          <w:sz w:val="36"/>
          <w:szCs w:val="36"/>
        </w:rPr>
        <w:t>2</w:t>
      </w:r>
      <w:r>
        <w:rPr>
          <w:rFonts w:hint="eastAsia" w:ascii="Arial" w:hAnsi="Arial" w:eastAsia="等线" w:cs="Arial"/>
          <w:b/>
          <w:sz w:val="36"/>
          <w:szCs w:val="36"/>
          <w:lang w:eastAsia="zh"/>
        </w:rPr>
        <w:t>数据中心</w:t>
      </w:r>
      <w:bookmarkEnd w:id="4"/>
    </w:p>
    <w:p w14:paraId="0CD9C537">
      <w:pPr>
        <w:spacing w:before="300" w:after="120" w:line="288" w:lineRule="auto"/>
        <w:ind w:left="0"/>
        <w:jc w:val="left"/>
        <w:outlineLvl w:val="2"/>
      </w:pPr>
      <w:bookmarkStart w:id="5" w:name="heading_172"/>
      <w:r>
        <w:rPr>
          <w:rFonts w:hint="eastAsia" w:ascii="Arial" w:hAnsi="Arial" w:eastAsia="等线" w:cs="Arial"/>
          <w:b/>
          <w:sz w:val="30"/>
          <w:szCs w:val="30"/>
          <w:lang w:eastAsia="zh"/>
        </w:rPr>
        <w:t>2</w:t>
      </w:r>
      <w:r>
        <w:rPr>
          <w:rFonts w:ascii="Arial" w:hAnsi="Arial" w:eastAsia="等线" w:cs="Arial"/>
          <w:b/>
          <w:sz w:val="30"/>
          <w:szCs w:val="30"/>
        </w:rPr>
        <w:t>.</w:t>
      </w:r>
      <w:r>
        <w:rPr>
          <w:rFonts w:hint="eastAsia" w:ascii="Arial" w:hAnsi="Arial" w:eastAsia="等线" w:cs="Arial"/>
          <w:b/>
          <w:sz w:val="30"/>
          <w:szCs w:val="30"/>
          <w:lang w:eastAsia="zh"/>
        </w:rPr>
        <w:t>1</w:t>
      </w:r>
      <w:r>
        <w:rPr>
          <w:rFonts w:ascii="Arial" w:hAnsi="Arial" w:eastAsia="等线" w:cs="Arial"/>
          <w:b/>
          <w:sz w:val="30"/>
          <w:szCs w:val="30"/>
        </w:rPr>
        <w:t>电价走势</w:t>
      </w:r>
    </w:p>
    <w:p w14:paraId="252D4498">
      <w:pPr>
        <w:spacing w:before="240" w:after="80" w:line="288" w:lineRule="auto"/>
        <w:outlineLvl w:val="3"/>
      </w:pPr>
      <w:r>
        <w:rPr>
          <w:rFonts w:ascii="Arial" w:hAnsi="Arial" w:eastAsia="等线" w:cs="Arial"/>
          <w:b/>
          <w:sz w:val="26"/>
          <w:szCs w:val="26"/>
        </w:rPr>
        <w:t>模块简介</w:t>
      </w:r>
    </w:p>
    <w:p w14:paraId="416BB8C7">
      <w:pPr>
        <w:spacing w:before="240" w:after="80" w:line="288" w:lineRule="auto"/>
        <w:outlineLvl w:val="3"/>
      </w:pPr>
      <w:r>
        <w:rPr>
          <w:rFonts w:ascii="Arial" w:hAnsi="Arial" w:eastAsia="等线" w:cs="Arial"/>
          <w:b/>
          <w:sz w:val="26"/>
          <w:szCs w:val="26"/>
        </w:rPr>
        <w:t>操作说明</w:t>
      </w:r>
    </w:p>
    <w:p w14:paraId="5E10E51F">
      <w:pPr>
        <w:spacing w:before="120" w:after="120" w:line="288" w:lineRule="auto"/>
        <w:ind w:left="0" w:firstLine="0"/>
        <w:jc w:val="left"/>
        <w:rPr>
          <w:rFonts w:hint="default" w:eastAsia="等线"/>
          <w:lang w:val="en-US" w:eastAsia="zh-CN"/>
        </w:rPr>
      </w:pPr>
      <w:r>
        <w:rPr>
          <w:rFonts w:ascii="Arial" w:hAnsi="Arial" w:eastAsia="等线" w:cs="Arial"/>
          <w:sz w:val="22"/>
        </w:rPr>
        <w:t>本模块主要用以展示市场上的节点电价、结算电价的电价走势，以及</w:t>
      </w:r>
      <w:r>
        <w:rPr>
          <w:rFonts w:ascii="Segoe UI" w:hAnsi="Segoe UI" w:eastAsia="Segoe UI" w:cs="Segoe UI"/>
          <w:i w:val="0"/>
          <w:iCs w:val="0"/>
          <w:caps w:val="0"/>
          <w:color w:val="3879FC"/>
          <w:spacing w:val="0"/>
          <w:sz w:val="21"/>
          <w:szCs w:val="21"/>
          <w:shd w:val="clear" w:fill="FFFFFF"/>
        </w:rPr>
        <w:t>各品种价格走势</w:t>
      </w:r>
      <w:r>
        <w:rPr>
          <w:rFonts w:ascii="Arial" w:hAnsi="Arial" w:eastAsia="等线" w:cs="Arial"/>
          <w:sz w:val="22"/>
        </w:rPr>
        <w:t>的价格情况</w:t>
      </w:r>
      <w:r>
        <w:rPr>
          <w:rFonts w:hint="eastAsia" w:ascii="Arial" w:hAnsi="Arial" w:eastAsia="等线" w:cs="Arial"/>
          <w:sz w:val="22"/>
          <w:lang w:val="en-US" w:eastAsia="zh-CN"/>
        </w:rPr>
        <w:t>及成交电量</w:t>
      </w:r>
    </w:p>
    <w:p w14:paraId="1E7C9881">
      <w:pPr>
        <w:spacing w:before="120" w:after="120" w:line="288" w:lineRule="auto"/>
        <w:ind w:left="0"/>
        <w:jc w:val="center"/>
        <w:rPr>
          <w:rFonts w:hint="default"/>
        </w:rPr>
      </w:pPr>
      <w:r>
        <w:rPr>
          <w:rFonts w:hint="default"/>
        </w:rPr>
        <w:drawing>
          <wp:inline distT="0" distB="0" distL="114300" distR="114300">
            <wp:extent cx="5258435" cy="2597150"/>
            <wp:effectExtent l="0" t="0" r="18415" b="12700"/>
            <wp:docPr id="1413" name="图片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 name="图片 1413"/>
                    <pic:cNvPicPr>
                      <a:picLocks noChangeAspect="1"/>
                    </pic:cNvPicPr>
                  </pic:nvPicPr>
                  <pic:blipFill>
                    <a:blip r:embed="rId8"/>
                    <a:stretch>
                      <a:fillRect/>
                    </a:stretch>
                  </pic:blipFill>
                  <pic:spPr>
                    <a:xfrm>
                      <a:off x="0" y="0"/>
                      <a:ext cx="5258435" cy="2597150"/>
                    </a:xfrm>
                    <a:prstGeom prst="rect">
                      <a:avLst/>
                    </a:prstGeom>
                  </pic:spPr>
                </pic:pic>
              </a:graphicData>
            </a:graphic>
          </wp:inline>
        </w:drawing>
      </w:r>
    </w:p>
    <w:p w14:paraId="6C65F25E">
      <w:pPr>
        <w:spacing w:before="120" w:after="120" w:line="288" w:lineRule="auto"/>
        <w:ind w:left="0"/>
        <w:jc w:val="left"/>
      </w:pPr>
      <w:r>
        <w:rPr>
          <w:rFonts w:ascii="Arial" w:hAnsi="Arial" w:eastAsia="等线" w:cs="Arial"/>
          <w:sz w:val="22"/>
        </w:rPr>
        <w:t>展示节点电价的走势，可以尽早看到电价的大概电价趋势，预判获利空间</w:t>
      </w:r>
    </w:p>
    <w:p w14:paraId="66D1F2BD">
      <w:pPr>
        <w:spacing w:before="120" w:after="120" w:line="288" w:lineRule="auto"/>
        <w:ind w:left="0"/>
        <w:jc w:val="center"/>
        <w:rPr>
          <w:rFonts w:hint="default"/>
        </w:rPr>
      </w:pPr>
      <w:r>
        <w:rPr>
          <w:rFonts w:hint="default"/>
        </w:rPr>
        <w:drawing>
          <wp:inline distT="0" distB="0" distL="114300" distR="114300">
            <wp:extent cx="5271135" cy="2624455"/>
            <wp:effectExtent l="0" t="0" r="5715" b="4445"/>
            <wp:docPr id="1415" name="图片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 name="图片 1415"/>
                    <pic:cNvPicPr>
                      <a:picLocks noChangeAspect="1"/>
                    </pic:cNvPicPr>
                  </pic:nvPicPr>
                  <pic:blipFill>
                    <a:blip r:embed="rId9"/>
                    <a:stretch>
                      <a:fillRect/>
                    </a:stretch>
                  </pic:blipFill>
                  <pic:spPr>
                    <a:xfrm>
                      <a:off x="0" y="0"/>
                      <a:ext cx="5271135" cy="2624455"/>
                    </a:xfrm>
                    <a:prstGeom prst="rect">
                      <a:avLst/>
                    </a:prstGeom>
                  </pic:spPr>
                </pic:pic>
              </a:graphicData>
            </a:graphic>
          </wp:inline>
        </w:drawing>
      </w:r>
    </w:p>
    <w:p w14:paraId="74A0ADF3">
      <w:pPr>
        <w:spacing w:before="120" w:after="120" w:line="288" w:lineRule="auto"/>
        <w:ind w:left="0"/>
        <w:jc w:val="left"/>
      </w:pPr>
      <w:r>
        <w:rPr>
          <w:rFonts w:ascii="Arial" w:hAnsi="Arial" w:eastAsia="等线" w:cs="Arial"/>
          <w:sz w:val="22"/>
        </w:rPr>
        <w:t>展示结算电价走势，分析结算电价的趋势和波动性</w:t>
      </w:r>
    </w:p>
    <w:p w14:paraId="151E7EF4">
      <w:pPr>
        <w:spacing w:before="120" w:after="120" w:line="288" w:lineRule="auto"/>
        <w:ind w:left="0"/>
        <w:jc w:val="center"/>
        <w:rPr>
          <w:rFonts w:hint="default"/>
        </w:rPr>
      </w:pPr>
      <w:r>
        <w:drawing>
          <wp:inline distT="0" distB="0" distL="114300" distR="114300">
            <wp:extent cx="5267960" cy="2278380"/>
            <wp:effectExtent l="0" t="0" r="889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0"/>
                    <a:stretch>
                      <a:fillRect/>
                    </a:stretch>
                  </pic:blipFill>
                  <pic:spPr>
                    <a:xfrm>
                      <a:off x="0" y="0"/>
                      <a:ext cx="5267960" cy="2278380"/>
                    </a:xfrm>
                    <a:prstGeom prst="rect">
                      <a:avLst/>
                    </a:prstGeom>
                    <a:noFill/>
                    <a:ln>
                      <a:noFill/>
                    </a:ln>
                  </pic:spPr>
                </pic:pic>
              </a:graphicData>
            </a:graphic>
          </wp:inline>
        </w:drawing>
      </w:r>
    </w:p>
    <w:p w14:paraId="1F44B9AB">
      <w:pPr>
        <w:spacing w:before="120" w:after="120" w:line="288" w:lineRule="auto"/>
        <w:ind w:left="0" w:firstLine="0"/>
        <w:jc w:val="left"/>
        <w:rPr>
          <w:rFonts w:hint="default" w:ascii="Arial" w:hAnsi="Arial" w:eastAsia="等线" w:cs="Arial"/>
          <w:b/>
          <w:bCs w:val="0"/>
          <w:kern w:val="0"/>
          <w:sz w:val="30"/>
          <w:szCs w:val="30"/>
          <w:lang w:val="en-US" w:eastAsia="zh-CN" w:bidi="ar"/>
        </w:rPr>
      </w:pPr>
      <w:r>
        <w:rPr>
          <w:rFonts w:ascii="Arial" w:hAnsi="Arial" w:eastAsia="等线" w:cs="Arial"/>
          <w:sz w:val="22"/>
        </w:rPr>
        <w:t>展示</w:t>
      </w:r>
      <w:r>
        <w:rPr>
          <w:rFonts w:hint="eastAsia" w:ascii="Arial" w:hAnsi="Arial" w:eastAsia="等线" w:cs="Arial"/>
          <w:sz w:val="22"/>
          <w:lang w:val="en-US" w:eastAsia="zh-CN"/>
        </w:rPr>
        <w:t>各品种</w:t>
      </w:r>
      <w:r>
        <w:rPr>
          <w:rFonts w:ascii="Arial" w:hAnsi="Arial" w:eastAsia="等线" w:cs="Arial"/>
          <w:sz w:val="22"/>
        </w:rPr>
        <w:t>电价走势，分析</w:t>
      </w:r>
      <w:r>
        <w:rPr>
          <w:rFonts w:hint="eastAsia" w:ascii="Arial" w:hAnsi="Arial" w:eastAsia="等线" w:cs="Arial"/>
          <w:sz w:val="22"/>
          <w:lang w:val="en-US" w:eastAsia="zh-CN"/>
        </w:rPr>
        <w:t>各品种</w:t>
      </w:r>
      <w:r>
        <w:rPr>
          <w:rFonts w:ascii="Arial" w:hAnsi="Arial" w:eastAsia="等线" w:cs="Arial"/>
          <w:sz w:val="22"/>
        </w:rPr>
        <w:t>电价的趋势和波动性</w:t>
      </w:r>
      <w:r>
        <w:rPr>
          <w:rFonts w:hint="eastAsia" w:ascii="Arial" w:hAnsi="Arial" w:eastAsia="等线" w:cs="Arial"/>
          <w:sz w:val="22"/>
          <w:lang w:eastAsia="zh-CN"/>
        </w:rPr>
        <w:t>，</w:t>
      </w:r>
      <w:r>
        <w:rPr>
          <w:rFonts w:hint="eastAsia" w:ascii="Arial" w:hAnsi="Arial" w:eastAsia="等线" w:cs="Arial"/>
          <w:sz w:val="22"/>
          <w:lang w:val="en-US" w:eastAsia="zh-CN"/>
        </w:rPr>
        <w:t>以及每月的成交电量</w:t>
      </w:r>
    </w:p>
    <w:p w14:paraId="65969709">
      <w:pPr>
        <w:keepNext w:val="0"/>
        <w:keepLines w:val="0"/>
        <w:widowControl w:val="0"/>
        <w:suppressLineNumbers w:val="0"/>
        <w:spacing w:before="300" w:beforeAutospacing="0" w:after="120" w:afterAutospacing="0" w:line="288" w:lineRule="auto"/>
        <w:ind w:left="0" w:right="0"/>
        <w:jc w:val="left"/>
        <w:outlineLvl w:val="2"/>
        <w:rPr>
          <w:rFonts w:hint="default" w:ascii="Calibri" w:hAnsi="Calibri" w:eastAsia="宋体" w:cs="Times New Roman"/>
          <w:sz w:val="30"/>
          <w:szCs w:val="21"/>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天气数据</w:t>
      </w:r>
      <w:bookmarkEnd w:id="5"/>
    </w:p>
    <w:p w14:paraId="6CA728AA">
      <w:pPr>
        <w:spacing w:before="240" w:after="80" w:line="288" w:lineRule="auto"/>
        <w:outlineLvl w:val="3"/>
      </w:pPr>
      <w:r>
        <w:rPr>
          <w:rFonts w:ascii="Arial" w:hAnsi="Arial" w:eastAsia="等线" w:cs="Arial"/>
          <w:b/>
          <w:sz w:val="26"/>
          <w:szCs w:val="26"/>
        </w:rPr>
        <w:t>模块简介</w:t>
      </w:r>
    </w:p>
    <w:p w14:paraId="44E26F74">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本模块为电力交易业务提供关键的气象数据支撑，通过多维度、多指标的气象数据可视化，帮助用户掌握目标地区（如示例中的杭州）的天气变化规律。气象数据直接影响风电、光伏出力及用电负荷预测，是电力交易报价、供需平衡分析的重要基础参考依据。</w:t>
      </w:r>
    </w:p>
    <w:p w14:paraId="571A4537">
      <w:pPr>
        <w:spacing w:before="240" w:after="80" w:line="288" w:lineRule="auto"/>
        <w:outlineLvl w:val="3"/>
      </w:pPr>
      <w:r>
        <w:rPr>
          <w:rFonts w:ascii="Arial" w:hAnsi="Arial" w:eastAsia="等线" w:cs="Arial"/>
          <w:b/>
          <w:sz w:val="26"/>
          <w:szCs w:val="26"/>
        </w:rPr>
        <w:t>操作说明</w:t>
      </w:r>
    </w:p>
    <w:p w14:paraId="12CD219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 顶部查询区</w:t>
      </w:r>
    </w:p>
    <w:p w14:paraId="0655DBE0">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日期范围选择：可自定义起始与结束日期（如示例中的 2026-05-01 至 2026-05-10），用于指定需要分析的气象数据时间区间。</w:t>
      </w:r>
    </w:p>
    <w:p w14:paraId="56ECCCF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地区选择：可切换不同城市 / 地区（如示例中的 “杭州”），查看对应区域的气象数据。</w:t>
      </w:r>
    </w:p>
    <w:p w14:paraId="5203FC3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「重置」按钮：点击后清空当前设置的日期与地区条件，恢复到系统默认状态，便于重新设置查询条件。</w:t>
      </w:r>
    </w:p>
    <w:p w14:paraId="1F3A5E5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「查询」按钮：条件设置完成后，点击该按钮加载并展示对应地区、时段的气象数据。</w:t>
      </w:r>
    </w:p>
    <w:p w14:paraId="1A687A60">
      <w:pPr>
        <w:spacing w:before="120" w:after="120" w:line="288" w:lineRule="auto"/>
        <w:ind w:left="0" w:firstLine="0"/>
        <w:jc w:val="left"/>
        <w:rPr>
          <w:rFonts w:hint="default" w:ascii="等线" w:hAnsi="等线" w:eastAsia="等线" w:cs="等线"/>
          <w:kern w:val="0"/>
          <w:sz w:val="22"/>
          <w:szCs w:val="22"/>
          <w:lang w:val="en-US" w:eastAsia="zh-CN" w:bidi="ar"/>
        </w:rPr>
      </w:pPr>
      <w:r>
        <w:drawing>
          <wp:inline distT="0" distB="0" distL="114300" distR="114300">
            <wp:extent cx="5266690" cy="345440"/>
            <wp:effectExtent l="0" t="0" r="10160" b="165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1"/>
                    <a:stretch>
                      <a:fillRect/>
                    </a:stretch>
                  </pic:blipFill>
                  <pic:spPr>
                    <a:xfrm>
                      <a:off x="0" y="0"/>
                      <a:ext cx="5266690" cy="345440"/>
                    </a:xfrm>
                    <a:prstGeom prst="rect">
                      <a:avLst/>
                    </a:prstGeom>
                    <a:noFill/>
                    <a:ln>
                      <a:noFill/>
                    </a:ln>
                  </pic:spPr>
                </pic:pic>
              </a:graphicData>
            </a:graphic>
          </wp:inline>
        </w:drawing>
      </w:r>
    </w:p>
    <w:p w14:paraId="6BB421C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 核心数据展示区</w:t>
      </w:r>
    </w:p>
    <w:p w14:paraId="3416348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（1）天气日历与详细气象数据</w:t>
      </w:r>
    </w:p>
    <w:p w14:paraId="71A3D90A">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天气日历：以日历形式展示每日的晴雨、温度等基础天气信息，快速了解整体天气趋势。</w:t>
      </w:r>
    </w:p>
    <w:p w14:paraId="44749529">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详细气象数据折线图：以多线图形式展示温度、风速、湿度、降水等关键气象指标的时段变化曲线，可直观对比不同指标的联动变化。</w:t>
      </w:r>
      <w:r>
        <w:drawing>
          <wp:inline distT="0" distB="0" distL="114300" distR="114300">
            <wp:extent cx="5259070" cy="2296160"/>
            <wp:effectExtent l="0" t="0" r="17780" b="889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2"/>
                    <a:stretch>
                      <a:fillRect/>
                    </a:stretch>
                  </pic:blipFill>
                  <pic:spPr>
                    <a:xfrm>
                      <a:off x="0" y="0"/>
                      <a:ext cx="5259070" cy="2296160"/>
                    </a:xfrm>
                    <a:prstGeom prst="rect">
                      <a:avLst/>
                    </a:prstGeom>
                    <a:noFill/>
                    <a:ln>
                      <a:noFill/>
                    </a:ln>
                  </pic:spPr>
                </pic:pic>
              </a:graphicData>
            </a:graphic>
          </wp:inline>
        </w:drawing>
      </w:r>
    </w:p>
    <w:p w14:paraId="197FA4A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（2）城市天气预警</w:t>
      </w:r>
    </w:p>
    <w:p w14:paraId="4EBCA3F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用于展示目标地区的气象预警信息，及时掌握极端天气情况，辅助评估其对电力供需的潜在影响（如高温、寒潮、强风等）。</w:t>
      </w:r>
      <w:r>
        <w:drawing>
          <wp:inline distT="0" distB="0" distL="114300" distR="114300">
            <wp:extent cx="5266055" cy="777240"/>
            <wp:effectExtent l="0" t="0" r="10795" b="3810"/>
            <wp:docPr id="1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
                    <pic:cNvPicPr>
                      <a:picLocks noChangeAspect="1"/>
                    </pic:cNvPicPr>
                  </pic:nvPicPr>
                  <pic:blipFill>
                    <a:blip r:embed="rId13"/>
                    <a:stretch>
                      <a:fillRect/>
                    </a:stretch>
                  </pic:blipFill>
                  <pic:spPr>
                    <a:xfrm>
                      <a:off x="0" y="0"/>
                      <a:ext cx="5266055" cy="777240"/>
                    </a:xfrm>
                    <a:prstGeom prst="rect">
                      <a:avLst/>
                    </a:prstGeom>
                    <a:noFill/>
                    <a:ln>
                      <a:noFill/>
                    </a:ln>
                  </pic:spPr>
                </pic:pic>
              </a:graphicData>
            </a:graphic>
          </wp:inline>
        </w:drawing>
      </w:r>
    </w:p>
    <w:p w14:paraId="3482372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（3）气象热力图</w:t>
      </w:r>
    </w:p>
    <w:p w14:paraId="2120BF32">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55F593C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1AF171DF">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CB1AE5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577E8B7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2E6B29B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6932D9FF">
      <w:pPr>
        <w:spacing w:before="120" w:after="120" w:line="288" w:lineRule="auto"/>
        <w:ind w:left="0" w:firstLine="0"/>
        <w:jc w:val="left"/>
        <w:rPr>
          <w:rFonts w:hint="eastAsia" w:ascii="Arial" w:hAnsi="Arial" w:eastAsia="等线" w:cs="Arial"/>
          <w:sz w:val="22"/>
          <w:lang w:eastAsia="zh"/>
        </w:rPr>
      </w:pPr>
      <w:r>
        <w:rPr>
          <w:rFonts w:hint="default" w:ascii="等线" w:hAnsi="等线" w:eastAsia="等线" w:cs="等线"/>
          <w:kern w:val="0"/>
          <w:sz w:val="22"/>
          <w:szCs w:val="22"/>
          <w:lang w:val="en-US" w:eastAsia="zh-CN" w:bidi="ar"/>
        </w:rPr>
        <w:t>风速热力图：风速直接决定风电出力水平，是风电出力预测的核心参考指标。</w:t>
      </w:r>
      <w:r>
        <w:drawing>
          <wp:inline distT="0" distB="0" distL="114300" distR="114300">
            <wp:extent cx="5262245" cy="2379345"/>
            <wp:effectExtent l="0" t="0" r="14605" b="1905"/>
            <wp:docPr id="1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pic:cNvPicPr>
                      <a:picLocks noChangeAspect="1"/>
                    </pic:cNvPicPr>
                  </pic:nvPicPr>
                  <pic:blipFill>
                    <a:blip r:embed="rId14"/>
                    <a:stretch>
                      <a:fillRect/>
                    </a:stretch>
                  </pic:blipFill>
                  <pic:spPr>
                    <a:xfrm>
                      <a:off x="0" y="0"/>
                      <a:ext cx="5262245" cy="2379345"/>
                    </a:xfrm>
                    <a:prstGeom prst="rect">
                      <a:avLst/>
                    </a:prstGeom>
                    <a:noFill/>
                    <a:ln>
                      <a:noFill/>
                    </a:ln>
                  </pic:spPr>
                </pic:pic>
              </a:graphicData>
            </a:graphic>
          </wp:inline>
        </w:drawing>
      </w:r>
    </w:p>
    <w:p w14:paraId="71B14F83">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3 市场分析</w:t>
      </w:r>
    </w:p>
    <w:p w14:paraId="0C03EFAE">
      <w:pPr>
        <w:keepNext w:val="0"/>
        <w:keepLines w:val="0"/>
        <w:widowControl w:val="0"/>
        <w:suppressLineNumbers w:val="0"/>
        <w:spacing w:before="120" w:beforeAutospacing="0" w:after="120" w:afterAutospacing="0" w:line="288" w:lineRule="auto"/>
        <w:ind w:left="0" w:right="0" w:firstLine="0"/>
        <w:jc w:val="left"/>
        <w:rPr>
          <w:rFonts w:hint="eastAsia" w:ascii="等线" w:hAnsi="等线" w:eastAsia="等线" w:cs="等线"/>
          <w:kern w:val="0"/>
          <w:sz w:val="22"/>
          <w:szCs w:val="22"/>
          <w:lang w:val="en-US" w:eastAsia="zh-CN" w:bidi="ar"/>
        </w:rPr>
      </w:pPr>
      <w:r>
        <w:rPr>
          <w:rFonts w:hint="eastAsia" w:ascii="Arial" w:hAnsi="Arial" w:eastAsia="等线" w:cs="Arial"/>
          <w:sz w:val="22"/>
        </w:rPr>
        <w:t>本</w:t>
      </w:r>
      <w:r>
        <w:rPr>
          <w:rFonts w:hint="eastAsia" w:ascii="等线" w:hAnsi="等线" w:eastAsia="等线" w:cs="等线"/>
          <w:kern w:val="0"/>
          <w:sz w:val="22"/>
          <w:szCs w:val="22"/>
          <w:lang w:val="en-US" w:eastAsia="zh-CN" w:bidi="ar"/>
        </w:rPr>
        <w:t>模块为电力交易业务的数据分析工具，支持多维度、多指标的市场走势与相关性分析，辅助交易决策，以下为完整操作流程与图表解读说明：</w:t>
      </w:r>
    </w:p>
    <w:p w14:paraId="4D4AE193">
      <w:pPr>
        <w:spacing w:before="240" w:after="80" w:line="288" w:lineRule="auto"/>
        <w:outlineLvl w:val="3"/>
      </w:pPr>
      <w:r>
        <w:rPr>
          <w:rFonts w:ascii="Arial" w:hAnsi="Arial" w:eastAsia="等线" w:cs="Arial"/>
          <w:b/>
          <w:sz w:val="26"/>
          <w:szCs w:val="26"/>
        </w:rPr>
        <w:t>模块简介</w:t>
      </w:r>
    </w:p>
    <w:p w14:paraId="3C8150E9">
      <w:pPr>
        <w:spacing w:before="240" w:after="80" w:line="288" w:lineRule="auto"/>
        <w:outlineLvl w:val="3"/>
      </w:pPr>
      <w:r>
        <w:rPr>
          <w:rFonts w:ascii="Arial" w:hAnsi="Arial" w:eastAsia="等线" w:cs="Arial"/>
          <w:b/>
          <w:sz w:val="26"/>
          <w:szCs w:val="26"/>
        </w:rPr>
        <w:t>操作说明</w:t>
      </w:r>
    </w:p>
    <w:p w14:paraId="70B4902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切换分析场景：页面顶部可切换「日前分析」「实时分析」「日前实时分析」标签，适配不同交易场景的数据查看需求。</w:t>
      </w:r>
    </w:p>
    <w:p w14:paraId="3D723F1F">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设置时间范围：点击日期选择框，自定义起始日期与结束日期（如示例中 2026-04-01 至 2026-04-15），确定</w:t>
      </w:r>
      <w:r>
        <w:rPr>
          <w:rFonts w:hint="eastAsia" w:ascii="Arial" w:hAnsi="Arial" w:eastAsia="等线" w:cs="Arial"/>
          <w:sz w:val="22"/>
        </w:rPr>
        <w:t>分析的时间区间。</w:t>
      </w:r>
    </w:p>
    <w:p w14:paraId="540350F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选择分析维度：通过下拉框选择分析维度（如示例中的「时段走势分析」），切换不同的分析视角。</w:t>
      </w:r>
    </w:p>
    <w:p w14:paraId="2102A9C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执行 / 重置查询：点击「查询」按钮加载对应数据；若需清空条件重新设置，点击「重置」即可恢复初始状态。</w:t>
      </w:r>
    </w:p>
    <w:p w14:paraId="70C31A6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1. 价格分析图</w:t>
      </w:r>
    </w:p>
    <w:p w14:paraId="432724BB">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展示所选时段内日前价格（单位：元 / MWh） 的分时走势，纵轴为价格，横轴为日期 + 时段。</w:t>
      </w:r>
    </w:p>
    <w:p w14:paraId="7D9698D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可快速识别价格高峰、低谷、波动异常时段（如示例中 4 月 5 日的负价格时段），掌握市场价格整体趋势。</w:t>
      </w:r>
      <w:r>
        <w:drawing>
          <wp:inline distT="0" distB="0" distL="114300" distR="114300">
            <wp:extent cx="5268595" cy="1838325"/>
            <wp:effectExtent l="0" t="0" r="8255"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5"/>
                    <a:stretch>
                      <a:fillRect/>
                    </a:stretch>
                  </pic:blipFill>
                  <pic:spPr>
                    <a:xfrm>
                      <a:off x="0" y="0"/>
                      <a:ext cx="5268595" cy="1838325"/>
                    </a:xfrm>
                    <a:prstGeom prst="rect">
                      <a:avLst/>
                    </a:prstGeom>
                    <a:noFill/>
                    <a:ln>
                      <a:noFill/>
                    </a:ln>
                  </pic:spPr>
                </pic:pic>
              </a:graphicData>
            </a:graphic>
          </wp:inline>
        </w:drawing>
      </w:r>
    </w:p>
    <w:p w14:paraId="6BE08BB6">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2. 多维度数据对比图</w:t>
      </w:r>
    </w:p>
    <w:p w14:paraId="488C41B4">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以分时曲线形式，对比展示电力市场供需核心指标（单位：MW），纵轴为功率数值，横轴与价格分析图保持一致，便于联动分析。</w:t>
      </w:r>
    </w:p>
    <w:p w14:paraId="4144CA6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支持的核心指标包含：日前竞价空间、持仓线、外来电预测、固定出力机组出力预测、日前负荷预测、风电出力预测、光伏出力预测、出清电力、新能源总加等。</w:t>
      </w:r>
    </w:p>
    <w:p w14:paraId="1B08419E">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鼠标悬停在曲线上，可查看对应时段各指标的具体数值详情，直观分析负荷、新能源出力、外来电等因素对市场价格的影响逻辑。</w:t>
      </w:r>
      <w:r>
        <w:drawing>
          <wp:inline distT="0" distB="0" distL="114300" distR="114300">
            <wp:extent cx="5259070" cy="1831975"/>
            <wp:effectExtent l="0" t="0" r="1778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259070" cy="1831975"/>
                    </a:xfrm>
                    <a:prstGeom prst="rect">
                      <a:avLst/>
                    </a:prstGeom>
                    <a:noFill/>
                    <a:ln>
                      <a:noFill/>
                    </a:ln>
                  </pic:spPr>
                </pic:pic>
              </a:graphicData>
            </a:graphic>
          </wp:inline>
        </w:drawing>
      </w:r>
    </w:p>
    <w:p w14:paraId="32069FF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3. 各维度间相关性分析热力图</w:t>
      </w:r>
    </w:p>
    <w:p w14:paraId="6D56A255">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以热力矩阵形式，量化展示各指标间的相关系数（范围 - 1~1），红色代表正相关、蓝色代表负相关，颜色越深相关性越强。</w:t>
      </w:r>
    </w:p>
    <w:p w14:paraId="3C7CB9DD">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可快速定位对价格影响最显著的指标，辅助分析市场核心驱动因素，识别关键影响变量。</w:t>
      </w:r>
      <w:r>
        <w:drawing>
          <wp:inline distT="0" distB="0" distL="114300" distR="114300">
            <wp:extent cx="5268595" cy="1826895"/>
            <wp:effectExtent l="0" t="0" r="825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268595" cy="1826895"/>
                    </a:xfrm>
                    <a:prstGeom prst="rect">
                      <a:avLst/>
                    </a:prstGeom>
                    <a:noFill/>
                    <a:ln>
                      <a:noFill/>
                    </a:ln>
                  </pic:spPr>
                </pic:pic>
              </a:graphicData>
            </a:graphic>
          </wp:inline>
        </w:drawing>
      </w:r>
    </w:p>
    <w:p w14:paraId="7FE91BC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4. 竞价空间与价格的相关分析柱状图</w:t>
      </w:r>
    </w:p>
    <w:p w14:paraId="0BD6AF6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按一天 24 小时时段，展示「竞价空间」与「日前价格」的相关性强弱。</w:t>
      </w:r>
    </w:p>
    <w:p w14:paraId="2CF15D33">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可直观查看不同时段两者的关联程度，帮助判断竞价空间对价格影响的时段特征，辅助制定分时交易策略。</w:t>
      </w:r>
      <w:r>
        <w:drawing>
          <wp:inline distT="0" distB="0" distL="114300" distR="114300">
            <wp:extent cx="5261610" cy="1826260"/>
            <wp:effectExtent l="0" t="0" r="1524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8"/>
                    <a:stretch>
                      <a:fillRect/>
                    </a:stretch>
                  </pic:blipFill>
                  <pic:spPr>
                    <a:xfrm>
                      <a:off x="0" y="0"/>
                      <a:ext cx="5261610" cy="1826260"/>
                    </a:xfrm>
                    <a:prstGeom prst="rect">
                      <a:avLst/>
                    </a:prstGeom>
                    <a:noFill/>
                    <a:ln>
                      <a:noFill/>
                    </a:ln>
                  </pic:spPr>
                </pic:pic>
              </a:graphicData>
            </a:graphic>
          </wp:inline>
        </w:drawing>
      </w:r>
    </w:p>
    <w:p w14:paraId="1614EFDD">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 xml:space="preserve">4 </w:t>
      </w:r>
      <w:r>
        <w:rPr>
          <w:rFonts w:hint="eastAsia" w:ascii="Arial" w:hAnsi="Arial" w:eastAsia="等线" w:cs="Arial"/>
          <w:b/>
          <w:bCs w:val="0"/>
          <w:kern w:val="0"/>
          <w:sz w:val="30"/>
          <w:szCs w:val="30"/>
          <w:lang w:val="en-US" w:eastAsia="zh-CN" w:bidi="ar"/>
        </w:rPr>
        <w:t>一次能源</w:t>
      </w:r>
      <w:r>
        <w:rPr>
          <w:rFonts w:hint="eastAsia" w:ascii="Arial" w:hAnsi="Arial" w:eastAsia="等线" w:cs="Arial"/>
          <w:b/>
          <w:bCs w:val="0"/>
          <w:kern w:val="0"/>
          <w:sz w:val="30"/>
          <w:szCs w:val="30"/>
          <w:lang w:val="en-US" w:eastAsia="zh" w:bidi="ar"/>
        </w:rPr>
        <w:t>分析</w:t>
      </w:r>
    </w:p>
    <w:p w14:paraId="0F045D34">
      <w:pPr>
        <w:spacing w:before="240" w:after="80" w:line="288" w:lineRule="auto"/>
        <w:outlineLvl w:val="3"/>
        <w:rPr>
          <w:rFonts w:ascii="Arial" w:hAnsi="Arial" w:eastAsia="等线" w:cs="Arial"/>
          <w:b/>
          <w:sz w:val="26"/>
          <w:szCs w:val="26"/>
        </w:rPr>
      </w:pPr>
      <w:r>
        <w:rPr>
          <w:rFonts w:ascii="Arial" w:hAnsi="Arial" w:eastAsia="等线" w:cs="Arial"/>
          <w:b/>
          <w:sz w:val="26"/>
          <w:szCs w:val="26"/>
        </w:rPr>
        <w:t>模块简介</w:t>
      </w:r>
    </w:p>
    <w:p w14:paraId="0FDBB370">
      <w:pPr>
        <w:spacing w:before="240" w:after="80" w:line="288" w:lineRule="auto"/>
        <w:outlineLvl w:val="3"/>
        <w:rPr>
          <w:rFonts w:hint="eastAsia" w:ascii="Arial" w:hAnsi="Arial" w:eastAsia="宋体" w:cs="Arial"/>
          <w:b/>
          <w:sz w:val="26"/>
          <w:szCs w:val="26"/>
          <w:lang w:val="en-US" w:eastAsia="zh-CN"/>
        </w:rPr>
      </w:pPr>
      <w:r>
        <w:rPr>
          <w:rFonts w:ascii="宋体" w:hAnsi="宋体" w:eastAsia="宋体" w:cs="宋体"/>
          <w:sz w:val="24"/>
          <w:szCs w:val="24"/>
        </w:rPr>
        <w:t>聚焦煤炭核心大宗商品价格监测，面向电力售电业务场景，通过权威行业煤价指数可视化走势图，直观跟踪中长期、现货、市场竞价煤炭价格波动，为火电成本测算、购煤定价、电力交易报价、燃料成本风险预判提供数据支撑，配套天然气价格分析形成完整一次能源价格监控体系。聚焦天然气全链条价格行情监测，覆盖国内 LNG 出厂、管道现货、进口远洋 LNG 远期交割价格两大维度，为燃气发电机组燃料成本核算、天然气采购定价、电力市场报价、能源采购风险预判提供可视化数据依据，实现煤炭、天然气两类核心化石一次能源的完整价格闭环监控。</w:t>
      </w:r>
      <w:r>
        <w:rPr>
          <w:rFonts w:hint="eastAsia" w:ascii="宋体" w:hAnsi="宋体" w:eastAsia="宋体" w:cs="宋体"/>
          <w:sz w:val="24"/>
          <w:szCs w:val="24"/>
          <w:lang w:val="en-US" w:eastAsia="zh-CN"/>
        </w:rPr>
        <w:tab/>
      </w:r>
    </w:p>
    <w:p w14:paraId="057B560E">
      <w:pPr>
        <w:spacing w:before="240" w:after="80" w:line="288" w:lineRule="auto"/>
        <w:outlineLvl w:val="3"/>
        <w:rPr>
          <w:rFonts w:ascii="Arial" w:hAnsi="Arial" w:eastAsia="等线" w:cs="Arial"/>
          <w:b/>
          <w:sz w:val="26"/>
          <w:szCs w:val="26"/>
        </w:rPr>
      </w:pPr>
      <w:r>
        <w:rPr>
          <w:rFonts w:ascii="Arial" w:hAnsi="Arial" w:eastAsia="等线" w:cs="Arial"/>
          <w:b/>
          <w:sz w:val="26"/>
          <w:szCs w:val="26"/>
        </w:rPr>
        <w:t>操作说明</w:t>
      </w:r>
    </w:p>
    <w:p w14:paraId="6731F2B9">
      <w:pPr>
        <w:spacing w:before="240" w:after="80" w:line="288" w:lineRule="auto"/>
        <w:outlineLvl w:val="3"/>
        <w:rPr>
          <w:rFonts w:ascii="Arial" w:hAnsi="Arial" w:eastAsia="等线" w:cs="Arial"/>
          <w:b/>
          <w:bCs/>
          <w:sz w:val="24"/>
          <w:szCs w:val="24"/>
        </w:rPr>
      </w:pPr>
      <w:r>
        <w:rPr>
          <w:rFonts w:ascii="Segoe UI" w:hAnsi="Segoe UI" w:eastAsia="Segoe UI" w:cs="Segoe UI"/>
          <w:b/>
          <w:bCs/>
          <w:i w:val="0"/>
          <w:iCs w:val="0"/>
          <w:caps w:val="0"/>
          <w:color w:val="66D975"/>
          <w:spacing w:val="0"/>
          <w:sz w:val="24"/>
          <w:szCs w:val="24"/>
          <w:shd w:val="clear" w:fill="FFFFFF"/>
        </w:rPr>
        <w:t>煤价分析</w:t>
      </w:r>
    </w:p>
    <w:p w14:paraId="54630DC1">
      <w:pPr>
        <w:spacing w:before="120" w:after="120" w:line="288" w:lineRule="auto"/>
        <w:ind w:left="0" w:firstLine="0"/>
        <w:jc w:val="left"/>
        <w:rPr>
          <w:rFonts w:ascii="Arial" w:hAnsi="Arial" w:eastAsia="等线" w:cs="Arial"/>
          <w:sz w:val="22"/>
        </w:rPr>
      </w:pPr>
      <w:r>
        <w:rPr>
          <w:rFonts w:ascii="Arial" w:hAnsi="Arial" w:eastAsia="等线" w:cs="Arial"/>
          <w:sz w:val="22"/>
        </w:rPr>
        <w:t>1. 时间筛选查询功能</w:t>
      </w:r>
    </w:p>
    <w:p w14:paraId="55E4D4BE">
      <w:pPr>
        <w:spacing w:before="120" w:after="120" w:line="288" w:lineRule="auto"/>
        <w:ind w:left="0" w:firstLine="0"/>
        <w:jc w:val="left"/>
        <w:rPr>
          <w:rFonts w:ascii="Arial" w:hAnsi="Arial" w:eastAsia="等线" w:cs="Arial"/>
          <w:sz w:val="22"/>
        </w:rPr>
      </w:pPr>
      <w:r>
        <w:rPr>
          <w:rFonts w:ascii="Arial" w:hAnsi="Arial" w:eastAsia="等线" w:cs="Arial"/>
          <w:sz w:val="22"/>
        </w:rPr>
        <w:t>支持自定义年份区间（截图中为 2024–2026 年），自由划定价格统计周期；</w:t>
      </w:r>
    </w:p>
    <w:p w14:paraId="2D00FC08">
      <w:pPr>
        <w:spacing w:before="120" w:after="120" w:line="288" w:lineRule="auto"/>
        <w:ind w:left="0" w:firstLine="0"/>
        <w:jc w:val="left"/>
        <w:rPr>
          <w:rFonts w:ascii="Arial" w:hAnsi="Arial" w:eastAsia="等线" w:cs="Arial"/>
          <w:sz w:val="22"/>
        </w:rPr>
      </w:pPr>
      <w:r>
        <w:rPr>
          <w:rFonts w:ascii="Arial" w:hAnsi="Arial" w:eastAsia="等线" w:cs="Arial"/>
          <w:sz w:val="22"/>
        </w:rPr>
        <w:t>配备「重置」清空筛选、「查询」触发图表刷新按钮，快速切换不同时间段历史价格走势。</w:t>
      </w:r>
    </w:p>
    <w:p w14:paraId="4259D545">
      <w:pPr>
        <w:spacing w:before="120" w:after="120" w:line="288" w:lineRule="auto"/>
        <w:ind w:left="0" w:firstLine="0"/>
        <w:jc w:val="left"/>
        <w:rPr>
          <w:rFonts w:ascii="Arial" w:hAnsi="Arial" w:eastAsia="等线" w:cs="Arial"/>
          <w:sz w:val="22"/>
        </w:rPr>
      </w:pPr>
      <w:r>
        <w:rPr>
          <w:rFonts w:ascii="Arial" w:hAnsi="Arial" w:eastAsia="等线" w:cs="Arial"/>
          <w:sz w:val="22"/>
        </w:rPr>
        <w:t>2. 第一图表：中价・新华焦煤价格指数 (CCP) 走势图</w:t>
      </w:r>
    </w:p>
    <w:p w14:paraId="2D2C2A2F">
      <w:pPr>
        <w:spacing w:before="120" w:after="120" w:line="288" w:lineRule="auto"/>
        <w:ind w:left="0" w:firstLine="0"/>
        <w:jc w:val="left"/>
        <w:rPr>
          <w:rFonts w:ascii="Arial" w:hAnsi="Arial" w:eastAsia="等线" w:cs="Arial"/>
          <w:sz w:val="22"/>
        </w:rPr>
      </w:pPr>
      <w:r>
        <w:rPr>
          <w:rFonts w:ascii="Arial" w:hAnsi="Arial" w:eastAsia="等线" w:cs="Arial"/>
          <w:sz w:val="22"/>
        </w:rPr>
        <w:t>指数含义</w:t>
      </w:r>
    </w:p>
    <w:p w14:paraId="5C71CDFF">
      <w:pPr>
        <w:spacing w:before="120" w:after="120" w:line="288" w:lineRule="auto"/>
        <w:ind w:left="0" w:firstLine="0"/>
        <w:jc w:val="left"/>
        <w:rPr>
          <w:rFonts w:ascii="Arial" w:hAnsi="Arial" w:eastAsia="等线" w:cs="Arial"/>
          <w:sz w:val="22"/>
        </w:rPr>
      </w:pPr>
      <w:r>
        <w:rPr>
          <w:rFonts w:ascii="Arial" w:hAnsi="Arial" w:eastAsia="等线" w:cs="Arial"/>
          <w:sz w:val="22"/>
        </w:rPr>
        <w:t>橙色长协指数：煤炭中长期合同签约定价指数，代表保供长协煤采购基准价格，是电厂锁量锁价核心成本参考；</w:t>
      </w:r>
    </w:p>
    <w:p w14:paraId="26B2F066">
      <w:pPr>
        <w:spacing w:before="120" w:after="120" w:line="288" w:lineRule="auto"/>
        <w:ind w:left="0" w:firstLine="0"/>
        <w:jc w:val="left"/>
        <w:rPr>
          <w:rFonts w:ascii="Arial" w:hAnsi="Arial" w:eastAsia="等线" w:cs="Arial"/>
          <w:sz w:val="22"/>
        </w:rPr>
      </w:pPr>
      <w:r>
        <w:rPr>
          <w:rFonts w:ascii="Arial" w:hAnsi="Arial" w:eastAsia="等线" w:cs="Arial"/>
          <w:sz w:val="22"/>
        </w:rPr>
        <w:t>蓝色现货指数：市场即时交易焦煤现货成交价，反映当下市场供需短期波动；</w:t>
      </w:r>
    </w:p>
    <w:p w14:paraId="281EF574">
      <w:pPr>
        <w:spacing w:before="120" w:after="120" w:line="288" w:lineRule="auto"/>
        <w:ind w:left="0" w:firstLine="0"/>
        <w:jc w:val="left"/>
        <w:rPr>
          <w:rFonts w:ascii="Arial" w:hAnsi="Arial" w:eastAsia="等线" w:cs="Arial"/>
          <w:sz w:val="22"/>
        </w:rPr>
      </w:pPr>
      <w:r>
        <w:rPr>
          <w:rFonts w:ascii="Arial" w:hAnsi="Arial" w:eastAsia="等线" w:cs="Arial"/>
          <w:sz w:val="22"/>
        </w:rPr>
        <w:t>绿色竞价指数：煤炭市场公开竞拍成交价格指数，市场化竞争下的实际拿货价格。</w:t>
      </w:r>
    </w:p>
    <w:p w14:paraId="6C9079CA">
      <w:pPr>
        <w:spacing w:before="120" w:after="120" w:line="288" w:lineRule="auto"/>
        <w:ind w:left="0" w:firstLine="0"/>
        <w:jc w:val="left"/>
        <w:rPr>
          <w:rFonts w:ascii="Arial" w:hAnsi="Arial" w:eastAsia="等线" w:cs="Arial"/>
          <w:sz w:val="22"/>
        </w:rPr>
      </w:pPr>
      <w:r>
        <w:rPr>
          <w:rFonts w:ascii="Arial" w:hAnsi="Arial" w:eastAsia="等线" w:cs="Arial"/>
          <w:sz w:val="22"/>
        </w:rPr>
        <w:t>业务价值</w:t>
      </w:r>
    </w:p>
    <w:p w14:paraId="54D33D59">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三条曲线同屏对比，可直观判断：长协煤与市场现货煤价差、市场竞价溢价幅度、煤价下行 / 上行周期拐点，指导企业签订年度长协、择机补充现货库存。</w:t>
      </w:r>
    </w:p>
    <w:p w14:paraId="4691CE7C">
      <w:pPr>
        <w:spacing w:before="120" w:after="120" w:line="288" w:lineRule="auto"/>
        <w:ind w:left="0" w:firstLine="0"/>
        <w:jc w:val="left"/>
        <w:rPr>
          <w:rFonts w:ascii="Arial" w:hAnsi="Arial" w:eastAsia="等线" w:cs="Arial"/>
          <w:sz w:val="22"/>
        </w:rPr>
      </w:pPr>
      <w:r>
        <w:rPr>
          <w:rFonts w:ascii="Arial" w:hAnsi="Arial" w:eastAsia="等线" w:cs="Arial"/>
          <w:sz w:val="22"/>
        </w:rPr>
        <w:t>3. 第二图表：环渤海动力煤价格指数 (BSPI) 走势图</w:t>
      </w:r>
    </w:p>
    <w:p w14:paraId="5FF5FB52">
      <w:pPr>
        <w:spacing w:before="120" w:after="120" w:line="288" w:lineRule="auto"/>
        <w:ind w:left="0" w:firstLine="0"/>
        <w:jc w:val="left"/>
        <w:rPr>
          <w:rFonts w:ascii="Arial" w:hAnsi="Arial" w:eastAsia="等线" w:cs="Arial"/>
          <w:sz w:val="22"/>
        </w:rPr>
      </w:pPr>
      <w:r>
        <w:rPr>
          <w:rFonts w:ascii="Arial" w:hAnsi="Arial" w:eastAsia="等线" w:cs="Arial"/>
          <w:sz w:val="22"/>
        </w:rPr>
        <w:t>指数定义：环渤海港口动力煤（电厂发电主力用煤）权威风向标指数，是火电企业燃料成本最核心的行业对标指标；</w:t>
      </w:r>
    </w:p>
    <w:p w14:paraId="3AE83801">
      <w:pPr>
        <w:spacing w:before="120" w:after="120" w:line="288" w:lineRule="auto"/>
        <w:ind w:left="0" w:firstLine="0"/>
        <w:jc w:val="left"/>
        <w:rPr>
          <w:rFonts w:ascii="Arial" w:hAnsi="Arial" w:eastAsia="等线" w:cs="Arial"/>
          <w:sz w:val="22"/>
        </w:rPr>
      </w:pPr>
      <w:r>
        <w:rPr>
          <w:rFonts w:ascii="Arial" w:hAnsi="Arial" w:eastAsia="等线" w:cs="Arial"/>
          <w:sz w:val="22"/>
        </w:rPr>
        <w:t>展示形式：单曲线连续时间轴走势，覆盖 2024.01 至 2026.08 完整周期，清晰呈现煤价下跌底部、触底反弹、震荡回升全过程；</w:t>
      </w:r>
    </w:p>
    <w:p w14:paraId="33243831">
      <w:pPr>
        <w:spacing w:before="120" w:after="120" w:line="288" w:lineRule="auto"/>
        <w:ind w:left="0" w:firstLine="0"/>
        <w:jc w:val="left"/>
        <w:rPr>
          <w:rFonts w:ascii="Arial" w:hAnsi="Arial" w:eastAsia="等线" w:cs="Arial"/>
          <w:sz w:val="22"/>
        </w:rPr>
      </w:pPr>
      <w:r>
        <w:rPr>
          <w:rFonts w:ascii="Arial" w:hAnsi="Arial" w:eastAsia="等线" w:cs="Arial"/>
          <w:sz w:val="22"/>
        </w:rPr>
        <w:t>核心用途：直接对标火电燃煤采购成本，预判发电单位变动成本，反向支撑广西区域售电报价、电力交易盈亏测算。</w:t>
      </w:r>
    </w:p>
    <w:p w14:paraId="5E30BA86">
      <w:pPr>
        <w:spacing w:before="240" w:after="80" w:line="288" w:lineRule="auto"/>
        <w:outlineLvl w:val="3"/>
        <w:rPr>
          <w:rFonts w:ascii="Segoe UI" w:hAnsi="Segoe UI" w:eastAsia="Segoe UI" w:cs="Segoe UI"/>
          <w:b/>
          <w:bCs/>
          <w:i w:val="0"/>
          <w:iCs w:val="0"/>
          <w:caps w:val="0"/>
          <w:color w:val="3FCD56"/>
          <w:spacing w:val="0"/>
          <w:sz w:val="24"/>
          <w:szCs w:val="24"/>
          <w:shd w:val="clear" w:fill="FFFFFF"/>
        </w:rPr>
      </w:pPr>
      <w:r>
        <w:rPr>
          <w:rFonts w:ascii="Segoe UI" w:hAnsi="Segoe UI" w:eastAsia="Segoe UI" w:cs="Segoe UI"/>
          <w:b/>
          <w:bCs/>
          <w:i w:val="0"/>
          <w:iCs w:val="0"/>
          <w:caps w:val="0"/>
          <w:color w:val="3FCD56"/>
          <w:spacing w:val="0"/>
          <w:sz w:val="24"/>
          <w:szCs w:val="24"/>
          <w:shd w:val="clear" w:fill="FFFFFF"/>
        </w:rPr>
        <w:t>气价分析</w:t>
      </w:r>
    </w:p>
    <w:p w14:paraId="297F6150">
      <w:pPr>
        <w:spacing w:before="120" w:after="120" w:line="288" w:lineRule="auto"/>
        <w:ind w:left="0" w:firstLine="0"/>
        <w:jc w:val="left"/>
        <w:rPr>
          <w:rFonts w:ascii="Arial" w:hAnsi="Arial" w:eastAsia="等线" w:cs="Arial"/>
          <w:sz w:val="22"/>
        </w:rPr>
      </w:pPr>
      <w:r>
        <w:rPr>
          <w:rFonts w:ascii="Arial" w:hAnsi="Arial" w:eastAsia="等线" w:cs="Arial"/>
          <w:sz w:val="22"/>
        </w:rPr>
        <w:t>筛选通用功能</w:t>
      </w:r>
    </w:p>
    <w:p w14:paraId="1BEB126C">
      <w:pPr>
        <w:spacing w:before="120" w:after="120" w:line="288" w:lineRule="auto"/>
        <w:ind w:left="0" w:firstLine="0"/>
        <w:jc w:val="left"/>
        <w:rPr>
          <w:rFonts w:ascii="Arial" w:hAnsi="Arial" w:eastAsia="等线" w:cs="Arial"/>
          <w:sz w:val="22"/>
        </w:rPr>
      </w:pPr>
      <w:r>
        <w:rPr>
          <w:rFonts w:ascii="Arial" w:hAnsi="Arial" w:eastAsia="等线" w:cs="Arial"/>
          <w:sz w:val="22"/>
        </w:rPr>
        <w:t>时间维度筛选：可自定义起止月份（示例 2026-06 至 2026-08），自由划定价格观测周期；</w:t>
      </w:r>
    </w:p>
    <w:p w14:paraId="4680B301">
      <w:pPr>
        <w:spacing w:before="120" w:after="120" w:line="288" w:lineRule="auto"/>
        <w:ind w:left="0" w:firstLine="0"/>
        <w:jc w:val="left"/>
        <w:rPr>
          <w:rFonts w:ascii="Arial" w:hAnsi="Arial" w:eastAsia="等线" w:cs="Arial"/>
          <w:sz w:val="22"/>
        </w:rPr>
      </w:pPr>
      <w:r>
        <w:rPr>
          <w:rFonts w:ascii="Arial" w:hAnsi="Arial" w:eastAsia="等线" w:cs="Arial"/>
          <w:sz w:val="22"/>
        </w:rPr>
        <w:t>地域维度筛选：支持选择不同省份，默认统计全国口径天然气价格；</w:t>
      </w:r>
    </w:p>
    <w:p w14:paraId="410093B0">
      <w:pPr>
        <w:spacing w:before="120" w:after="120" w:line="288" w:lineRule="auto"/>
        <w:ind w:left="0" w:firstLine="0"/>
        <w:jc w:val="left"/>
        <w:rPr>
          <w:rFonts w:ascii="Arial" w:hAnsi="Arial" w:eastAsia="等线" w:cs="Arial"/>
          <w:sz w:val="22"/>
        </w:rPr>
      </w:pPr>
      <w:r>
        <w:rPr>
          <w:rFonts w:ascii="Arial" w:hAnsi="Arial" w:eastAsia="等线" w:cs="Arial"/>
          <w:sz w:val="22"/>
        </w:rPr>
        <w:t>操作按钮：重置清空筛选条件、查询一键刷新图表数据，操作便捷。</w:t>
      </w:r>
    </w:p>
    <w:p w14:paraId="321FEAA5">
      <w:pPr>
        <w:spacing w:before="120" w:after="120" w:line="288" w:lineRule="auto"/>
        <w:ind w:left="0" w:firstLine="0"/>
        <w:jc w:val="left"/>
        <w:rPr>
          <w:rFonts w:ascii="Arial" w:hAnsi="Arial" w:eastAsia="等线" w:cs="Arial"/>
          <w:sz w:val="22"/>
        </w:rPr>
      </w:pPr>
      <w:r>
        <w:rPr>
          <w:rFonts w:ascii="Arial" w:hAnsi="Arial" w:eastAsia="等线" w:cs="Arial"/>
          <w:sz w:val="22"/>
        </w:rPr>
        <w:t>三、第一张图表：LNG 出厂价・管道气现货走势图</w:t>
      </w:r>
    </w:p>
    <w:p w14:paraId="19CC867F">
      <w:pPr>
        <w:spacing w:before="120" w:after="120" w:line="288" w:lineRule="auto"/>
        <w:ind w:left="0" w:firstLine="0"/>
        <w:jc w:val="left"/>
        <w:rPr>
          <w:rFonts w:ascii="Arial" w:hAnsi="Arial" w:eastAsia="等线" w:cs="Arial"/>
          <w:sz w:val="22"/>
        </w:rPr>
      </w:pPr>
      <w:r>
        <w:rPr>
          <w:rFonts w:ascii="Arial" w:hAnsi="Arial" w:eastAsia="等线" w:cs="Arial"/>
          <w:sz w:val="22"/>
        </w:rPr>
        <w:t>1. 三条指标释义</w:t>
      </w:r>
    </w:p>
    <w:p w14:paraId="6C057A37">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单位统一：元 / 方</w:t>
      </w:r>
    </w:p>
    <w:p w14:paraId="41440204">
      <w:pPr>
        <w:spacing w:before="120" w:after="120" w:line="288" w:lineRule="auto"/>
        <w:ind w:left="0" w:firstLine="0"/>
        <w:jc w:val="left"/>
        <w:rPr>
          <w:rFonts w:ascii="Arial" w:hAnsi="Arial" w:eastAsia="等线" w:cs="Arial"/>
          <w:sz w:val="22"/>
        </w:rPr>
      </w:pPr>
      <w:r>
        <w:rPr>
          <w:rFonts w:ascii="Arial" w:hAnsi="Arial" w:eastAsia="等线" w:cs="Arial"/>
          <w:sz w:val="22"/>
        </w:rPr>
        <w:t>橙色曲线：LNG 出厂价（折算元 / 方）国内液化天然气工厂出厂挂牌折算单价，是陆上 LNG 槽车采购的核心成本基准；</w:t>
      </w:r>
    </w:p>
    <w:p w14:paraId="2A5CB0A2">
      <w:pPr>
        <w:spacing w:before="120" w:after="120" w:line="288" w:lineRule="auto"/>
        <w:ind w:left="0" w:firstLine="0"/>
        <w:jc w:val="left"/>
        <w:rPr>
          <w:rFonts w:ascii="Arial" w:hAnsi="Arial" w:eastAsia="等线" w:cs="Arial"/>
          <w:sz w:val="22"/>
        </w:rPr>
      </w:pPr>
      <w:r>
        <w:rPr>
          <w:rFonts w:ascii="Arial" w:hAnsi="Arial" w:eastAsia="等线" w:cs="Arial"/>
          <w:sz w:val="22"/>
        </w:rPr>
        <w:t>蓝色曲线：周度管道气价格长输管道输送天然气周度市场成交价，管道气为燃气电厂最主要稳定气源；</w:t>
      </w:r>
    </w:p>
    <w:p w14:paraId="2C79238E">
      <w:pPr>
        <w:spacing w:before="120" w:after="120" w:line="288" w:lineRule="auto"/>
        <w:ind w:left="0" w:firstLine="0"/>
        <w:jc w:val="left"/>
        <w:rPr>
          <w:rFonts w:ascii="Arial" w:hAnsi="Arial" w:eastAsia="等线" w:cs="Arial"/>
          <w:sz w:val="22"/>
        </w:rPr>
      </w:pPr>
      <w:r>
        <w:rPr>
          <w:rFonts w:ascii="Arial" w:hAnsi="Arial" w:eastAsia="等线" w:cs="Arial"/>
          <w:sz w:val="22"/>
        </w:rPr>
        <w:t>绿色虚线：管道气月度均价管道天然气月度平均价格，用于平滑周度短期波动，看中长期价格趋势。</w:t>
      </w:r>
    </w:p>
    <w:p w14:paraId="1D2F8F61">
      <w:pPr>
        <w:spacing w:before="120" w:after="120" w:line="288" w:lineRule="auto"/>
        <w:ind w:left="0" w:firstLine="0"/>
        <w:jc w:val="left"/>
        <w:rPr>
          <w:rFonts w:ascii="Arial" w:hAnsi="Arial" w:eastAsia="等线" w:cs="Arial"/>
          <w:sz w:val="22"/>
        </w:rPr>
      </w:pPr>
      <w:r>
        <w:rPr>
          <w:rFonts w:ascii="Arial" w:hAnsi="Arial" w:eastAsia="等线" w:cs="Arial"/>
          <w:sz w:val="22"/>
        </w:rPr>
        <w:t>2. 业务作用</w:t>
      </w:r>
    </w:p>
    <w:p w14:paraId="1043FE4E">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直观对比 LNG 液态气源与管道气态气源的价差、季节性涨跌规律，指导燃气机组气源结构配比（管道气长期锁定 + LNG 现货临时补库），精准测算燃气发电单位燃料成本。</w:t>
      </w:r>
    </w:p>
    <w:p w14:paraId="45B115F3">
      <w:pPr>
        <w:spacing w:before="120" w:after="120" w:line="288" w:lineRule="auto"/>
        <w:ind w:left="0" w:firstLine="0"/>
        <w:jc w:val="left"/>
        <w:rPr>
          <w:rFonts w:ascii="Arial" w:hAnsi="Arial" w:eastAsia="等线" w:cs="Arial"/>
          <w:sz w:val="22"/>
        </w:rPr>
      </w:pPr>
      <w:r>
        <w:rPr>
          <w:rFonts w:ascii="Arial" w:hAnsi="Arial" w:eastAsia="等线" w:cs="Arial"/>
          <w:sz w:val="22"/>
        </w:rPr>
        <w:t>四、第二张图表：进口现货 LNG 到岸价（近月）(CLD) 走势图</w:t>
      </w:r>
    </w:p>
    <w:p w14:paraId="48EA83EF">
      <w:pPr>
        <w:spacing w:before="120" w:after="120" w:line="288" w:lineRule="auto"/>
        <w:ind w:left="0" w:firstLine="0"/>
        <w:jc w:val="left"/>
        <w:rPr>
          <w:rFonts w:ascii="Arial" w:hAnsi="Arial" w:eastAsia="等线" w:cs="Arial"/>
          <w:sz w:val="22"/>
        </w:rPr>
      </w:pPr>
      <w:r>
        <w:rPr>
          <w:rFonts w:ascii="Arial" w:hAnsi="Arial" w:eastAsia="等线" w:cs="Arial"/>
          <w:sz w:val="22"/>
        </w:rPr>
        <w:t>1. 基础规则说明</w:t>
      </w:r>
    </w:p>
    <w:p w14:paraId="4FF3D705">
      <w:pPr>
        <w:spacing w:before="120" w:after="120" w:line="288" w:lineRule="auto"/>
        <w:ind w:left="0" w:firstLine="0"/>
        <w:jc w:val="left"/>
        <w:rPr>
          <w:rFonts w:ascii="Arial" w:hAnsi="Arial" w:eastAsia="等线" w:cs="Arial"/>
          <w:sz w:val="22"/>
        </w:rPr>
      </w:pPr>
      <w:r>
        <w:rPr>
          <w:rFonts w:ascii="Arial" w:hAnsi="Arial" w:eastAsia="等线" w:cs="Arial"/>
          <w:sz w:val="22"/>
        </w:rPr>
        <w:t>计价单位：美元 / 百万英热（$/MMBTU），国际 LNG 贸易通用报价单位；</w:t>
      </w:r>
    </w:p>
    <w:p w14:paraId="0EDE44A7">
      <w:pPr>
        <w:spacing w:before="120" w:after="120" w:line="288" w:lineRule="auto"/>
        <w:ind w:left="0" w:firstLine="0"/>
        <w:jc w:val="left"/>
        <w:rPr>
          <w:rFonts w:ascii="Arial" w:hAnsi="Arial" w:eastAsia="等线" w:cs="Arial"/>
          <w:sz w:val="22"/>
        </w:rPr>
      </w:pPr>
      <w:r>
        <w:rPr>
          <w:rFonts w:ascii="Arial" w:hAnsi="Arial" w:eastAsia="等线" w:cs="Arial"/>
          <w:sz w:val="22"/>
        </w:rPr>
        <w:t>交割滚动规则：每月 15 日为交割滚动分割点，15 日及之前报价对应当月起连续 3 个交割月，15 日后自动向后滚动顺延 3 个交割月，贴合国际 LNG 现货交易惯例。</w:t>
      </w:r>
    </w:p>
    <w:p w14:paraId="566212B9">
      <w:pPr>
        <w:spacing w:before="120" w:after="120" w:line="288" w:lineRule="auto"/>
        <w:ind w:left="0" w:firstLine="0"/>
        <w:jc w:val="left"/>
        <w:rPr>
          <w:rFonts w:ascii="Arial" w:hAnsi="Arial" w:eastAsia="等线" w:cs="Arial"/>
          <w:sz w:val="22"/>
        </w:rPr>
      </w:pPr>
      <w:r>
        <w:rPr>
          <w:rFonts w:ascii="Arial" w:hAnsi="Arial" w:eastAsia="等线" w:cs="Arial"/>
          <w:sz w:val="22"/>
        </w:rPr>
        <w:t>2. 四条交割曲线含义</w:t>
      </w:r>
    </w:p>
    <w:p w14:paraId="36587598">
      <w:pPr>
        <w:spacing w:before="120" w:after="120" w:line="288" w:lineRule="auto"/>
        <w:ind w:left="0" w:firstLine="0"/>
        <w:jc w:val="left"/>
        <w:rPr>
          <w:rFonts w:ascii="Arial" w:hAnsi="Arial" w:eastAsia="等线" w:cs="Arial"/>
          <w:sz w:val="22"/>
        </w:rPr>
      </w:pPr>
      <w:r>
        <w:rPr>
          <w:rFonts w:ascii="Arial" w:hAnsi="Arial" w:eastAsia="等线" w:cs="Arial"/>
          <w:sz w:val="22"/>
        </w:rPr>
        <w:t>蓝色：8 月交割 LNG 到岸价</w:t>
      </w:r>
    </w:p>
    <w:p w14:paraId="59DB04AA">
      <w:pPr>
        <w:spacing w:before="120" w:after="120" w:line="288" w:lineRule="auto"/>
        <w:ind w:left="0" w:firstLine="0"/>
        <w:jc w:val="left"/>
        <w:rPr>
          <w:rFonts w:ascii="Arial" w:hAnsi="Arial" w:eastAsia="等线" w:cs="Arial"/>
          <w:sz w:val="22"/>
        </w:rPr>
      </w:pPr>
      <w:r>
        <w:rPr>
          <w:rFonts w:ascii="Arial" w:hAnsi="Arial" w:eastAsia="等线" w:cs="Arial"/>
          <w:sz w:val="22"/>
        </w:rPr>
        <w:t>橙色：9 月交割 LNG 到岸价</w:t>
      </w:r>
    </w:p>
    <w:p w14:paraId="685A39A1">
      <w:pPr>
        <w:spacing w:before="120" w:after="120" w:line="288" w:lineRule="auto"/>
        <w:ind w:left="0" w:firstLine="0"/>
        <w:jc w:val="left"/>
        <w:rPr>
          <w:rFonts w:ascii="Arial" w:hAnsi="Arial" w:eastAsia="等线" w:cs="Arial"/>
          <w:sz w:val="22"/>
        </w:rPr>
      </w:pPr>
      <w:r>
        <w:rPr>
          <w:rFonts w:ascii="Arial" w:hAnsi="Arial" w:eastAsia="等线" w:cs="Arial"/>
          <w:sz w:val="22"/>
        </w:rPr>
        <w:t>绿色：10 月交割 LNG 到岸价</w:t>
      </w:r>
    </w:p>
    <w:p w14:paraId="6AF5AEE3">
      <w:pPr>
        <w:spacing w:before="120" w:after="120" w:line="288" w:lineRule="auto"/>
        <w:ind w:left="0" w:firstLine="0"/>
        <w:jc w:val="left"/>
        <w:rPr>
          <w:rFonts w:ascii="Arial" w:hAnsi="Arial" w:eastAsia="等线" w:cs="Arial"/>
          <w:sz w:val="22"/>
        </w:rPr>
      </w:pPr>
      <w:r>
        <w:rPr>
          <w:rFonts w:ascii="Arial" w:hAnsi="Arial" w:eastAsia="等线" w:cs="Arial"/>
          <w:sz w:val="22"/>
        </w:rPr>
        <w:t>灰色：11 月交割 LNG 到岸价</w:t>
      </w:r>
    </w:p>
    <w:p w14:paraId="2273D7E7">
      <w:pPr>
        <w:spacing w:before="120" w:after="120" w:line="288" w:lineRule="auto"/>
        <w:ind w:left="0" w:firstLine="0"/>
        <w:jc w:val="left"/>
        <w:rPr>
          <w:rFonts w:ascii="Arial" w:hAnsi="Arial" w:eastAsia="等线" w:cs="Arial"/>
          <w:sz w:val="22"/>
        </w:rPr>
      </w:pPr>
      <w:r>
        <w:rPr>
          <w:rFonts w:ascii="Arial" w:hAnsi="Arial" w:eastAsia="等线" w:cs="Arial"/>
          <w:sz w:val="22"/>
        </w:rPr>
        <w:t>3. 业务价值</w:t>
      </w:r>
    </w:p>
    <w:p w14:paraId="5B35B44F">
      <w:pPr>
        <w:spacing w:before="120" w:after="120" w:line="288" w:lineRule="auto"/>
        <w:ind w:left="0" w:firstLine="0"/>
        <w:jc w:val="left"/>
        <w:rPr>
          <w:rFonts w:ascii="Arial" w:hAnsi="Arial" w:eastAsia="等线" w:cs="Arial"/>
          <w:sz w:val="22"/>
        </w:rPr>
      </w:pPr>
      <w:r>
        <w:rPr>
          <w:rFonts w:ascii="Arial" w:hAnsi="Arial" w:eastAsia="等线" w:cs="Arial"/>
          <w:sz w:val="22"/>
        </w:rPr>
        <w:t>跟踪国际上游 LNG 大宗商品价格波动，预判未来数月进口采购成本；</w:t>
      </w:r>
    </w:p>
    <w:p w14:paraId="00DBFE74">
      <w:pPr>
        <w:spacing w:before="120" w:after="120" w:line="288" w:lineRule="auto"/>
        <w:ind w:left="0" w:firstLine="0"/>
        <w:jc w:val="left"/>
        <w:rPr>
          <w:rFonts w:ascii="Arial" w:hAnsi="Arial" w:eastAsia="等线" w:cs="Arial"/>
          <w:sz w:val="22"/>
        </w:rPr>
      </w:pPr>
      <w:r>
        <w:rPr>
          <w:rFonts w:ascii="Arial" w:hAnsi="Arial" w:eastAsia="等线" w:cs="Arial"/>
          <w:sz w:val="22"/>
        </w:rPr>
        <w:t>观察不同交割月份价差，判断天然气旺季（冬季用气）价格上涨预期；</w:t>
      </w:r>
    </w:p>
    <w:p w14:paraId="583C5C63">
      <w:pPr>
        <w:spacing w:before="120" w:after="120" w:line="288" w:lineRule="auto"/>
        <w:ind w:left="0" w:firstLine="0"/>
        <w:jc w:val="left"/>
        <w:rPr>
          <w:rFonts w:ascii="Segoe UI" w:hAnsi="Segoe UI" w:eastAsia="Segoe UI" w:cs="Segoe UI"/>
          <w:i w:val="0"/>
          <w:iCs w:val="0"/>
          <w:caps w:val="0"/>
          <w:color w:val="3FCD56"/>
          <w:spacing w:val="0"/>
          <w:sz w:val="21"/>
          <w:szCs w:val="21"/>
          <w:shd w:val="clear" w:fill="FFFFFF"/>
        </w:rPr>
      </w:pPr>
      <w:r>
        <w:rPr>
          <w:rFonts w:ascii="Arial" w:hAnsi="Arial" w:eastAsia="等线" w:cs="Arial"/>
          <w:sz w:val="22"/>
        </w:rPr>
        <w:t>联动汇率测算进口 LNG 落地总成本，辅助跨境气源采购谈判与锁价决策。</w:t>
      </w:r>
      <w:bookmarkStart w:id="38" w:name="_GoBack"/>
      <w:bookmarkEnd w:id="38"/>
    </w:p>
    <w:p w14:paraId="7402A355">
      <w:pPr>
        <w:spacing w:before="320" w:after="120" w:line="288" w:lineRule="auto"/>
        <w:ind w:left="0"/>
        <w:jc w:val="left"/>
        <w:outlineLvl w:val="1"/>
      </w:pPr>
      <w:bookmarkStart w:id="6" w:name="heading_173"/>
      <w:bookmarkStart w:id="7" w:name="_Toc12466"/>
      <w:r>
        <w:rPr>
          <w:rFonts w:hint="eastAsia" w:ascii="Arial" w:hAnsi="Arial" w:eastAsia="等线" w:cs="Arial"/>
          <w:b/>
          <w:sz w:val="36"/>
          <w:szCs w:val="36"/>
          <w:lang w:eastAsia="zh"/>
        </w:rPr>
        <w:t>3</w:t>
      </w:r>
      <w:r>
        <w:rPr>
          <w:rFonts w:ascii="Arial" w:hAnsi="Arial" w:eastAsia="等线" w:cs="Arial"/>
          <w:b/>
          <w:sz w:val="36"/>
          <w:szCs w:val="36"/>
        </w:rPr>
        <w:t>客户管理</w:t>
      </w:r>
      <w:bookmarkEnd w:id="6"/>
      <w:bookmarkEnd w:id="7"/>
    </w:p>
    <w:p w14:paraId="66B7680E">
      <w:pPr>
        <w:spacing w:before="300" w:after="120" w:line="288" w:lineRule="auto"/>
        <w:ind w:left="0"/>
        <w:jc w:val="left"/>
        <w:outlineLvl w:val="2"/>
      </w:pPr>
      <w:bookmarkStart w:id="8" w:name="heading_174"/>
      <w:r>
        <w:rPr>
          <w:rFonts w:hint="eastAsia" w:ascii="Arial" w:hAnsi="Arial" w:eastAsia="等线" w:cs="Arial"/>
          <w:b/>
          <w:sz w:val="30"/>
          <w:szCs w:val="30"/>
          <w:lang w:eastAsia="zh"/>
        </w:rPr>
        <w:t>3</w:t>
      </w:r>
      <w:r>
        <w:rPr>
          <w:rFonts w:ascii="Arial" w:hAnsi="Arial" w:eastAsia="等线" w:cs="Arial"/>
          <w:b/>
          <w:sz w:val="30"/>
          <w:szCs w:val="30"/>
        </w:rPr>
        <w:t>.1 客户企业</w:t>
      </w:r>
      <w:bookmarkEnd w:id="8"/>
    </w:p>
    <w:p w14:paraId="3408C950">
      <w:pPr>
        <w:spacing w:before="240" w:after="80" w:line="288" w:lineRule="auto"/>
        <w:outlineLvl w:val="3"/>
      </w:pPr>
      <w:r>
        <w:rPr>
          <w:rFonts w:ascii="Arial" w:hAnsi="Arial" w:eastAsia="等线" w:cs="Arial"/>
          <w:b/>
          <w:sz w:val="26"/>
          <w:szCs w:val="26"/>
        </w:rPr>
        <w:t>模块简介</w:t>
      </w:r>
    </w:p>
    <w:p w14:paraId="5C07A712">
      <w:pPr>
        <w:spacing w:before="240" w:after="80" w:line="288" w:lineRule="auto"/>
        <w:outlineLvl w:val="3"/>
      </w:pPr>
      <w:r>
        <w:rPr>
          <w:rFonts w:ascii="Arial" w:hAnsi="Arial" w:eastAsia="等线" w:cs="Arial"/>
          <w:b/>
          <w:sz w:val="26"/>
          <w:szCs w:val="26"/>
        </w:rPr>
        <w:t>操作说明</w:t>
      </w:r>
    </w:p>
    <w:p w14:paraId="702255FD">
      <w:pPr>
        <w:spacing w:before="120" w:after="120" w:line="288" w:lineRule="auto"/>
        <w:ind w:left="0" w:firstLine="0"/>
        <w:jc w:val="left"/>
      </w:pPr>
      <w:r>
        <w:rPr>
          <w:rFonts w:ascii="Arial" w:hAnsi="Arial" w:eastAsia="等线" w:cs="Arial"/>
          <w:sz w:val="22"/>
        </w:rPr>
        <w:t>本模块主要用以做客户企业的基础信息维护</w:t>
      </w:r>
    </w:p>
    <w:p w14:paraId="52237D2E">
      <w:pPr>
        <w:spacing w:before="120" w:after="120" w:line="288" w:lineRule="auto"/>
        <w:ind w:left="0"/>
        <w:jc w:val="center"/>
        <w:rPr>
          <w:rFonts w:hint="default"/>
        </w:rPr>
      </w:pPr>
      <w:r>
        <w:rPr>
          <w:rFonts w:hint="default"/>
        </w:rPr>
        <w:drawing>
          <wp:inline distT="0" distB="0" distL="114300" distR="114300">
            <wp:extent cx="5258435" cy="2506980"/>
            <wp:effectExtent l="0" t="0" r="18415" b="7620"/>
            <wp:docPr id="1283" name="图片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 name="图片 1283"/>
                    <pic:cNvPicPr>
                      <a:picLocks noChangeAspect="1"/>
                    </pic:cNvPicPr>
                  </pic:nvPicPr>
                  <pic:blipFill>
                    <a:blip r:embed="rId19"/>
                    <a:stretch>
                      <a:fillRect/>
                    </a:stretch>
                  </pic:blipFill>
                  <pic:spPr>
                    <a:xfrm>
                      <a:off x="0" y="0"/>
                      <a:ext cx="5258435" cy="2506980"/>
                    </a:xfrm>
                    <a:prstGeom prst="rect">
                      <a:avLst/>
                    </a:prstGeom>
                  </pic:spPr>
                </pic:pic>
              </a:graphicData>
            </a:graphic>
          </wp:inline>
        </w:drawing>
      </w:r>
    </w:p>
    <w:p w14:paraId="29915067">
      <w:pPr>
        <w:spacing w:before="120" w:after="120" w:line="288" w:lineRule="auto"/>
        <w:ind w:left="0" w:firstLine="0"/>
        <w:jc w:val="left"/>
      </w:pPr>
      <w:r>
        <w:rPr>
          <w:rFonts w:ascii="Arial" w:hAnsi="Arial" w:eastAsia="等线" w:cs="Arial"/>
          <w:sz w:val="22"/>
        </w:rPr>
        <w:t>列表内展示各电力用户信息，点击新增以创建新的客户企业</w:t>
      </w:r>
    </w:p>
    <w:p w14:paraId="63967C2C">
      <w:pPr>
        <w:spacing w:before="120" w:after="120" w:line="288" w:lineRule="auto"/>
        <w:ind w:left="0"/>
        <w:jc w:val="center"/>
        <w:rPr>
          <w:rFonts w:hint="default"/>
        </w:rPr>
      </w:pPr>
      <w:r>
        <w:rPr>
          <w:rFonts w:hint="default"/>
        </w:rPr>
        <w:drawing>
          <wp:inline distT="0" distB="0" distL="114300" distR="114300">
            <wp:extent cx="5271135" cy="1582420"/>
            <wp:effectExtent l="0" t="0" r="5715" b="17780"/>
            <wp:docPr id="1284" name="图片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 name="图片 1284"/>
                    <pic:cNvPicPr>
                      <a:picLocks noChangeAspect="1"/>
                    </pic:cNvPicPr>
                  </pic:nvPicPr>
                  <pic:blipFill>
                    <a:blip r:embed="rId20"/>
                    <a:stretch>
                      <a:fillRect/>
                    </a:stretch>
                  </pic:blipFill>
                  <pic:spPr>
                    <a:xfrm>
                      <a:off x="0" y="0"/>
                      <a:ext cx="5271135" cy="1582420"/>
                    </a:xfrm>
                    <a:prstGeom prst="rect">
                      <a:avLst/>
                    </a:prstGeom>
                  </pic:spPr>
                </pic:pic>
              </a:graphicData>
            </a:graphic>
          </wp:inline>
        </w:drawing>
      </w:r>
    </w:p>
    <w:p w14:paraId="2A62E7A4">
      <w:pPr>
        <w:spacing w:before="120" w:after="120" w:line="288" w:lineRule="auto"/>
        <w:ind w:left="0" w:firstLine="0"/>
        <w:jc w:val="left"/>
      </w:pPr>
      <w:r>
        <w:rPr>
          <w:rFonts w:ascii="Arial" w:hAnsi="Arial" w:eastAsia="等线" w:cs="Arial"/>
          <w:sz w:val="22"/>
        </w:rPr>
        <w:t>新增时可对企业的企业名称、城市、统一社会信用代码、企业角色等进行维护</w:t>
      </w:r>
    </w:p>
    <w:p w14:paraId="79E1F1F2">
      <w:pPr>
        <w:spacing w:before="120" w:after="120" w:line="288" w:lineRule="auto"/>
        <w:ind w:left="0" w:firstLine="0"/>
        <w:jc w:val="left"/>
      </w:pPr>
      <w:r>
        <w:rPr>
          <w:rFonts w:ascii="Arial" w:hAnsi="Arial" w:eastAsia="等线" w:cs="Arial"/>
          <w:sz w:val="22"/>
        </w:rPr>
        <w:t>点击编辑以调整已创建的企业的信息。</w:t>
      </w:r>
    </w:p>
    <w:p w14:paraId="637AE642">
      <w:pPr>
        <w:spacing w:before="120" w:after="120" w:line="288" w:lineRule="auto"/>
        <w:ind w:left="0"/>
        <w:jc w:val="center"/>
        <w:rPr>
          <w:rFonts w:hint="default"/>
        </w:rPr>
      </w:pPr>
      <w:r>
        <w:rPr>
          <w:rFonts w:hint="default"/>
        </w:rPr>
        <w:drawing>
          <wp:inline distT="0" distB="0" distL="114300" distR="114300">
            <wp:extent cx="5261610" cy="1565275"/>
            <wp:effectExtent l="0" t="0" r="15240" b="15875"/>
            <wp:docPr id="1285" name="图片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 name="图片 1285"/>
                    <pic:cNvPicPr>
                      <a:picLocks noChangeAspect="1"/>
                    </pic:cNvPicPr>
                  </pic:nvPicPr>
                  <pic:blipFill>
                    <a:blip r:embed="rId21"/>
                    <a:stretch>
                      <a:fillRect/>
                    </a:stretch>
                  </pic:blipFill>
                  <pic:spPr>
                    <a:xfrm>
                      <a:off x="0" y="0"/>
                      <a:ext cx="5261610" cy="1565275"/>
                    </a:xfrm>
                    <a:prstGeom prst="rect">
                      <a:avLst/>
                    </a:prstGeom>
                  </pic:spPr>
                </pic:pic>
              </a:graphicData>
            </a:graphic>
          </wp:inline>
        </w:drawing>
      </w:r>
    </w:p>
    <w:p w14:paraId="50E70E90">
      <w:pPr>
        <w:spacing w:before="120" w:after="120" w:line="288" w:lineRule="auto"/>
        <w:ind w:left="0" w:firstLine="0"/>
        <w:jc w:val="left"/>
      </w:pPr>
      <w:r>
        <w:rPr>
          <w:rFonts w:ascii="Arial" w:hAnsi="Arial" w:eastAsia="等线" w:cs="Arial"/>
          <w:sz w:val="22"/>
        </w:rPr>
        <w:t>点击查看关联合同以跳转到合同管理页面，并将对应企业的合同筛选并展示出来。</w:t>
      </w:r>
    </w:p>
    <w:p w14:paraId="295D4B11">
      <w:pPr>
        <w:spacing w:before="300" w:after="120" w:line="288" w:lineRule="auto"/>
        <w:ind w:left="0"/>
        <w:jc w:val="left"/>
        <w:outlineLvl w:val="2"/>
      </w:pPr>
      <w:bookmarkStart w:id="9" w:name="heading_175"/>
      <w:r>
        <w:rPr>
          <w:rFonts w:hint="eastAsia" w:ascii="Arial" w:hAnsi="Arial" w:eastAsia="等线" w:cs="Arial"/>
          <w:b/>
          <w:sz w:val="30"/>
          <w:szCs w:val="30"/>
          <w:lang w:eastAsia="zh"/>
        </w:rPr>
        <w:t>3</w:t>
      </w:r>
      <w:r>
        <w:rPr>
          <w:rFonts w:ascii="Arial" w:hAnsi="Arial" w:eastAsia="等线" w:cs="Arial"/>
          <w:b/>
          <w:sz w:val="30"/>
          <w:szCs w:val="30"/>
        </w:rPr>
        <w:t>.2 合同管理</w:t>
      </w:r>
      <w:bookmarkEnd w:id="9"/>
    </w:p>
    <w:p w14:paraId="1DFFF0F7">
      <w:pPr>
        <w:spacing w:before="240" w:after="80" w:line="288" w:lineRule="auto"/>
        <w:outlineLvl w:val="3"/>
      </w:pPr>
      <w:r>
        <w:rPr>
          <w:rFonts w:ascii="Arial" w:hAnsi="Arial" w:eastAsia="等线" w:cs="Arial"/>
          <w:b/>
          <w:sz w:val="26"/>
          <w:szCs w:val="26"/>
        </w:rPr>
        <w:t>模块简介</w:t>
      </w:r>
    </w:p>
    <w:p w14:paraId="795CF5C3">
      <w:pPr>
        <w:spacing w:before="240" w:after="80" w:line="288" w:lineRule="auto"/>
        <w:outlineLvl w:val="3"/>
      </w:pPr>
      <w:r>
        <w:rPr>
          <w:rFonts w:ascii="Arial" w:hAnsi="Arial" w:eastAsia="等线" w:cs="Arial"/>
          <w:b/>
          <w:sz w:val="26"/>
          <w:szCs w:val="26"/>
        </w:rPr>
        <w:t>操作说明</w:t>
      </w:r>
    </w:p>
    <w:p w14:paraId="0FDF9FB6">
      <w:pPr>
        <w:spacing w:before="120" w:after="120" w:line="288" w:lineRule="auto"/>
        <w:ind w:left="0" w:firstLine="0"/>
        <w:jc w:val="left"/>
      </w:pPr>
      <w:r>
        <w:rPr>
          <w:rFonts w:ascii="Arial" w:hAnsi="Arial" w:eastAsia="等线" w:cs="Arial"/>
          <w:sz w:val="22"/>
        </w:rPr>
        <w:t>本模块主要展示电力交易与需求响应的合同内容，提供维护、删除、作废、附件上传等功能。默认展示电力交易合同。</w:t>
      </w:r>
    </w:p>
    <w:p w14:paraId="20806CA2">
      <w:pPr>
        <w:spacing w:before="120" w:after="120" w:line="288" w:lineRule="auto"/>
        <w:ind w:left="0"/>
        <w:jc w:val="center"/>
        <w:rPr>
          <w:rFonts w:hint="default"/>
        </w:rPr>
      </w:pPr>
      <w:r>
        <w:rPr>
          <w:rFonts w:hint="default"/>
        </w:rPr>
        <w:drawing>
          <wp:inline distT="0" distB="0" distL="114300" distR="114300">
            <wp:extent cx="5264785" cy="1419860"/>
            <wp:effectExtent l="0" t="0" r="12065" b="8890"/>
            <wp:docPr id="1286" name="图片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图片 1286"/>
                    <pic:cNvPicPr>
                      <a:picLocks noChangeAspect="1"/>
                    </pic:cNvPicPr>
                  </pic:nvPicPr>
                  <pic:blipFill>
                    <a:blip r:embed="rId22"/>
                    <a:stretch>
                      <a:fillRect/>
                    </a:stretch>
                  </pic:blipFill>
                  <pic:spPr>
                    <a:xfrm>
                      <a:off x="0" y="0"/>
                      <a:ext cx="5264785" cy="1419860"/>
                    </a:xfrm>
                    <a:prstGeom prst="rect">
                      <a:avLst/>
                    </a:prstGeom>
                  </pic:spPr>
                </pic:pic>
              </a:graphicData>
            </a:graphic>
          </wp:inline>
        </w:drawing>
      </w:r>
    </w:p>
    <w:p w14:paraId="525A5A54">
      <w:pPr>
        <w:spacing w:before="120" w:after="120" w:line="288" w:lineRule="auto"/>
        <w:ind w:left="0" w:firstLine="0"/>
        <w:jc w:val="left"/>
      </w:pPr>
      <w:r>
        <w:rPr>
          <w:rFonts w:ascii="Arial" w:hAnsi="Arial" w:eastAsia="等线" w:cs="Arial"/>
          <w:sz w:val="22"/>
        </w:rPr>
        <w:t>点击新增合同以发起合同创建的流程</w:t>
      </w:r>
    </w:p>
    <w:p w14:paraId="26533F0F">
      <w:pPr>
        <w:spacing w:before="120" w:after="120" w:line="288" w:lineRule="auto"/>
        <w:ind w:left="0"/>
        <w:jc w:val="center"/>
        <w:rPr>
          <w:rFonts w:hint="default"/>
        </w:rPr>
      </w:pPr>
      <w:r>
        <w:rPr>
          <w:rFonts w:hint="default"/>
        </w:rPr>
        <w:drawing>
          <wp:inline distT="0" distB="0" distL="114300" distR="114300">
            <wp:extent cx="5268595" cy="1685925"/>
            <wp:effectExtent l="0" t="0" r="8255" b="9525"/>
            <wp:docPr id="1287" name="图片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 name="图片 1287"/>
                    <pic:cNvPicPr>
                      <a:picLocks noChangeAspect="1"/>
                    </pic:cNvPicPr>
                  </pic:nvPicPr>
                  <pic:blipFill>
                    <a:blip r:embed="rId23"/>
                    <a:stretch>
                      <a:fillRect/>
                    </a:stretch>
                  </pic:blipFill>
                  <pic:spPr>
                    <a:xfrm>
                      <a:off x="0" y="0"/>
                      <a:ext cx="5268595" cy="1685925"/>
                    </a:xfrm>
                    <a:prstGeom prst="rect">
                      <a:avLst/>
                    </a:prstGeom>
                  </pic:spPr>
                </pic:pic>
              </a:graphicData>
            </a:graphic>
          </wp:inline>
        </w:drawing>
      </w:r>
    </w:p>
    <w:p w14:paraId="386EF18C">
      <w:pPr>
        <w:spacing w:before="120" w:after="120" w:line="288" w:lineRule="auto"/>
        <w:ind w:left="0" w:firstLine="0"/>
        <w:jc w:val="left"/>
      </w:pPr>
      <w:r>
        <w:rPr>
          <w:rFonts w:ascii="Arial" w:hAnsi="Arial" w:eastAsia="等线" w:cs="Arial"/>
          <w:sz w:val="22"/>
        </w:rPr>
        <w:t>依据合同实际情况，选择对应的套餐版本，一般为实际合同对应的年份</w:t>
      </w:r>
    </w:p>
    <w:p w14:paraId="1F8747F4">
      <w:pPr>
        <w:spacing w:before="120" w:after="120" w:line="288" w:lineRule="auto"/>
        <w:ind w:left="0"/>
        <w:jc w:val="center"/>
        <w:rPr>
          <w:rFonts w:hint="default"/>
        </w:rPr>
      </w:pPr>
      <w:r>
        <w:rPr>
          <w:rFonts w:hint="default"/>
        </w:rPr>
        <w:drawing>
          <wp:inline distT="0" distB="0" distL="114300" distR="114300">
            <wp:extent cx="5265420" cy="1581150"/>
            <wp:effectExtent l="0" t="0" r="11430" b="0"/>
            <wp:docPr id="1288" name="图片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图片 1288"/>
                    <pic:cNvPicPr>
                      <a:picLocks noChangeAspect="1"/>
                    </pic:cNvPicPr>
                  </pic:nvPicPr>
                  <pic:blipFill>
                    <a:blip r:embed="rId24"/>
                    <a:stretch>
                      <a:fillRect/>
                    </a:stretch>
                  </pic:blipFill>
                  <pic:spPr>
                    <a:xfrm>
                      <a:off x="0" y="0"/>
                      <a:ext cx="5265420" cy="1581150"/>
                    </a:xfrm>
                    <a:prstGeom prst="rect">
                      <a:avLst/>
                    </a:prstGeom>
                  </pic:spPr>
                </pic:pic>
              </a:graphicData>
            </a:graphic>
          </wp:inline>
        </w:drawing>
      </w:r>
    </w:p>
    <w:p w14:paraId="07CB4380">
      <w:pPr>
        <w:spacing w:before="120" w:after="120" w:line="288" w:lineRule="auto"/>
        <w:ind w:left="0" w:firstLine="0"/>
        <w:jc w:val="left"/>
      </w:pPr>
      <w:r>
        <w:rPr>
          <w:rFonts w:ascii="Arial" w:hAnsi="Arial" w:eastAsia="等线" w:cs="Arial"/>
          <w:sz w:val="22"/>
        </w:rPr>
        <w:t>版本选择后，依据和客户签订的套餐内容，选择固定价格、市场价格联动</w:t>
      </w:r>
      <w:r>
        <w:rPr>
          <w:rFonts w:hint="eastAsia" w:ascii="Arial" w:hAnsi="Arial" w:eastAsia="等线" w:cs="Arial"/>
          <w:sz w:val="22"/>
          <w:lang w:eastAsia="zh"/>
        </w:rPr>
        <w:t>等</w:t>
      </w:r>
      <w:r>
        <w:rPr>
          <w:rFonts w:ascii="Arial" w:hAnsi="Arial" w:eastAsia="等线" w:cs="Arial"/>
          <w:sz w:val="22"/>
        </w:rPr>
        <w:t>。</w:t>
      </w:r>
    </w:p>
    <w:p w14:paraId="636E23E7">
      <w:pPr>
        <w:spacing w:before="120" w:after="120" w:line="288" w:lineRule="auto"/>
        <w:ind w:left="0"/>
        <w:jc w:val="center"/>
        <w:rPr>
          <w:rFonts w:hint="default"/>
        </w:rPr>
      </w:pPr>
      <w:r>
        <w:rPr>
          <w:rFonts w:hint="default"/>
        </w:rPr>
        <w:drawing>
          <wp:inline distT="0" distB="0" distL="114300" distR="114300">
            <wp:extent cx="5273040" cy="2615565"/>
            <wp:effectExtent l="0" t="0" r="3810" b="13335"/>
            <wp:docPr id="1289" name="图片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图片 1289"/>
                    <pic:cNvPicPr>
                      <a:picLocks noChangeAspect="1"/>
                    </pic:cNvPicPr>
                  </pic:nvPicPr>
                  <pic:blipFill>
                    <a:blip r:embed="rId25"/>
                    <a:stretch>
                      <a:fillRect/>
                    </a:stretch>
                  </pic:blipFill>
                  <pic:spPr>
                    <a:xfrm>
                      <a:off x="0" y="0"/>
                      <a:ext cx="5273040" cy="2615565"/>
                    </a:xfrm>
                    <a:prstGeom prst="rect">
                      <a:avLst/>
                    </a:prstGeom>
                  </pic:spPr>
                </pic:pic>
              </a:graphicData>
            </a:graphic>
          </wp:inline>
        </w:drawing>
      </w:r>
    </w:p>
    <w:p w14:paraId="69E07743">
      <w:pPr>
        <w:spacing w:before="120" w:after="120" w:line="288" w:lineRule="auto"/>
        <w:ind w:left="0"/>
        <w:jc w:val="left"/>
      </w:pPr>
      <w:r>
        <w:rPr>
          <w:rFonts w:ascii="Arial" w:hAnsi="Arial" w:eastAsia="等线" w:cs="Arial"/>
          <w:sz w:val="22"/>
        </w:rPr>
        <w:t>固定价格需要维护和客户约定的固定价格数值。</w:t>
      </w:r>
    </w:p>
    <w:p w14:paraId="699FFDE6">
      <w:pPr>
        <w:spacing w:before="120" w:after="120" w:line="288" w:lineRule="auto"/>
        <w:ind w:left="0" w:firstLine="0"/>
        <w:jc w:val="left"/>
      </w:pPr>
      <w:r>
        <w:rPr>
          <w:rFonts w:ascii="Arial" w:hAnsi="Arial" w:eastAsia="等线" w:cs="Arial"/>
          <w:sz w:val="22"/>
        </w:rPr>
        <w:t>点击电网互动以切换到</w:t>
      </w:r>
      <w:r>
        <w:rPr>
          <w:rFonts w:hint="eastAsia" w:ascii="Arial" w:hAnsi="Arial" w:eastAsia="等线" w:cs="Arial"/>
          <w:sz w:val="22"/>
          <w:lang w:eastAsia="zh"/>
        </w:rPr>
        <w:t>电网互动</w:t>
      </w:r>
      <w:r>
        <w:rPr>
          <w:rFonts w:ascii="Arial" w:hAnsi="Arial" w:eastAsia="等线" w:cs="Arial"/>
          <w:sz w:val="22"/>
        </w:rPr>
        <w:t>类合同的维护</w:t>
      </w:r>
    </w:p>
    <w:p w14:paraId="37D94B77">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1492250"/>
            <wp:effectExtent l="0" t="0" r="11430" b="12700"/>
            <wp:docPr id="1290" name="图片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 name="图片 1290"/>
                    <pic:cNvPicPr>
                      <a:picLocks noChangeAspect="1"/>
                    </pic:cNvPicPr>
                  </pic:nvPicPr>
                  <pic:blipFill>
                    <a:blip r:embed="rId26"/>
                    <a:stretch>
                      <a:fillRect/>
                    </a:stretch>
                  </pic:blipFill>
                  <pic:spPr>
                    <a:xfrm>
                      <a:off x="0" y="0"/>
                      <a:ext cx="5265420" cy="1492250"/>
                    </a:xfrm>
                    <a:prstGeom prst="rect">
                      <a:avLst/>
                    </a:prstGeom>
                  </pic:spPr>
                </pic:pic>
              </a:graphicData>
            </a:graphic>
          </wp:inline>
        </w:drawing>
      </w:r>
    </w:p>
    <w:p w14:paraId="2A1A43B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088390"/>
            <wp:effectExtent l="0" t="0" r="5715" b="16510"/>
            <wp:docPr id="1291" name="图片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 name="图片 1291"/>
                    <pic:cNvPicPr>
                      <a:picLocks noChangeAspect="1"/>
                    </pic:cNvPicPr>
                  </pic:nvPicPr>
                  <pic:blipFill>
                    <a:blip r:embed="rId27"/>
                    <a:stretch>
                      <a:fillRect/>
                    </a:stretch>
                  </pic:blipFill>
                  <pic:spPr>
                    <a:xfrm>
                      <a:off x="0" y="0"/>
                      <a:ext cx="5271135" cy="1088390"/>
                    </a:xfrm>
                    <a:prstGeom prst="rect">
                      <a:avLst/>
                    </a:prstGeom>
                  </pic:spPr>
                </pic:pic>
              </a:graphicData>
            </a:graphic>
          </wp:inline>
        </w:drawing>
      </w:r>
    </w:p>
    <w:p w14:paraId="2E6E79E7">
      <w:pPr>
        <w:spacing w:before="120" w:after="120" w:line="288" w:lineRule="auto"/>
        <w:ind w:left="0" w:firstLine="0"/>
        <w:jc w:val="left"/>
      </w:pPr>
      <w:r>
        <w:rPr>
          <w:rFonts w:ascii="Arial" w:hAnsi="Arial" w:eastAsia="等线" w:cs="Arial"/>
          <w:sz w:val="22"/>
        </w:rPr>
        <w:t>点击新增以创建需求响应合同，分为基础信息和资源代理信息两部分。基础信息中需要维护客户所在省份、用电企业、企业联系人、企业联系人电话、合同开始日期、合同结束日期、客户分成占比。点击保存后进入资源代理信息维护页面。</w:t>
      </w:r>
    </w:p>
    <w:p w14:paraId="4A99CEA4">
      <w:pPr>
        <w:spacing w:before="120" w:after="120" w:line="288" w:lineRule="auto"/>
        <w:ind w:left="0"/>
        <w:jc w:val="center"/>
        <w:rPr>
          <w:rFonts w:hint="default"/>
        </w:rPr>
      </w:pPr>
      <w:r>
        <w:rPr>
          <w:rFonts w:hint="default"/>
        </w:rPr>
        <w:drawing>
          <wp:inline distT="0" distB="0" distL="114300" distR="114300">
            <wp:extent cx="5266690" cy="1415415"/>
            <wp:effectExtent l="0" t="0" r="10160" b="13335"/>
            <wp:docPr id="1241" name="图片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 name="图片 1241"/>
                    <pic:cNvPicPr>
                      <a:picLocks noChangeAspect="1"/>
                    </pic:cNvPicPr>
                  </pic:nvPicPr>
                  <pic:blipFill>
                    <a:blip r:embed="rId28"/>
                    <a:stretch>
                      <a:fillRect/>
                    </a:stretch>
                  </pic:blipFill>
                  <pic:spPr>
                    <a:xfrm>
                      <a:off x="0" y="0"/>
                      <a:ext cx="5266690" cy="1415415"/>
                    </a:xfrm>
                    <a:prstGeom prst="rect">
                      <a:avLst/>
                    </a:prstGeom>
                  </pic:spPr>
                </pic:pic>
              </a:graphicData>
            </a:graphic>
          </wp:inline>
        </w:drawing>
      </w:r>
    </w:p>
    <w:p w14:paraId="194FAC7B">
      <w:pPr>
        <w:spacing w:before="120" w:after="120" w:line="288" w:lineRule="auto"/>
        <w:ind w:left="0" w:firstLine="0"/>
        <w:jc w:val="left"/>
      </w:pPr>
      <w:r>
        <w:rPr>
          <w:rFonts w:ascii="Arial" w:hAnsi="Arial" w:eastAsia="等线" w:cs="Arial"/>
          <w:sz w:val="22"/>
        </w:rPr>
        <w:t>点击新增，维护该用电企业下的户号及对应的电网机构。</w:t>
      </w:r>
    </w:p>
    <w:p w14:paraId="02B9985D">
      <w:pPr>
        <w:spacing w:before="120" w:after="120" w:line="288" w:lineRule="auto"/>
        <w:ind w:left="0"/>
        <w:jc w:val="center"/>
        <w:rPr>
          <w:rFonts w:hint="default"/>
        </w:rPr>
      </w:pPr>
      <w:r>
        <w:rPr>
          <w:rFonts w:hint="default"/>
        </w:rPr>
        <w:drawing>
          <wp:inline distT="0" distB="0" distL="114300" distR="114300">
            <wp:extent cx="5265420" cy="2137410"/>
            <wp:effectExtent l="0" t="0" r="11430" b="15240"/>
            <wp:docPr id="1279" name="图片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图片 1279"/>
                    <pic:cNvPicPr>
                      <a:picLocks noChangeAspect="1"/>
                    </pic:cNvPicPr>
                  </pic:nvPicPr>
                  <pic:blipFill>
                    <a:blip r:embed="rId29"/>
                    <a:stretch>
                      <a:fillRect/>
                    </a:stretch>
                  </pic:blipFill>
                  <pic:spPr>
                    <a:xfrm>
                      <a:off x="0" y="0"/>
                      <a:ext cx="5265420" cy="2137410"/>
                    </a:xfrm>
                    <a:prstGeom prst="rect">
                      <a:avLst/>
                    </a:prstGeom>
                  </pic:spPr>
                </pic:pic>
              </a:graphicData>
            </a:graphic>
          </wp:inline>
        </w:drawing>
      </w:r>
    </w:p>
    <w:p w14:paraId="6D458435">
      <w:pPr>
        <w:spacing w:before="120" w:after="120" w:line="288" w:lineRule="auto"/>
        <w:ind w:left="0" w:firstLine="0"/>
        <w:jc w:val="left"/>
      </w:pPr>
      <w:r>
        <w:rPr>
          <w:rFonts w:ascii="Arial" w:hAnsi="Arial" w:eastAsia="等线" w:cs="Arial"/>
          <w:sz w:val="22"/>
        </w:rPr>
        <w:t>其中户号来源为用电档案管理，绑定电网机构取决于企业已经和哪些电网机构完成了对接。</w:t>
      </w:r>
    </w:p>
    <w:p w14:paraId="23E37E68">
      <w:pPr>
        <w:spacing w:before="300" w:after="120" w:line="288" w:lineRule="auto"/>
        <w:ind w:left="0"/>
        <w:jc w:val="left"/>
        <w:outlineLvl w:val="2"/>
      </w:pPr>
      <w:bookmarkStart w:id="10" w:name="heading_176"/>
      <w:r>
        <w:rPr>
          <w:rFonts w:hint="eastAsia" w:ascii="Arial" w:hAnsi="Arial" w:eastAsia="等线" w:cs="Arial"/>
          <w:b/>
          <w:sz w:val="30"/>
          <w:szCs w:val="30"/>
          <w:lang w:eastAsia="zh"/>
        </w:rPr>
        <w:t>3</w:t>
      </w:r>
      <w:r>
        <w:rPr>
          <w:rFonts w:ascii="Arial" w:hAnsi="Arial" w:eastAsia="等线" w:cs="Arial"/>
          <w:b/>
          <w:sz w:val="30"/>
          <w:szCs w:val="30"/>
        </w:rPr>
        <w:t>.3 用电档案管理</w:t>
      </w:r>
      <w:bookmarkEnd w:id="10"/>
    </w:p>
    <w:p w14:paraId="1E42B56F">
      <w:pPr>
        <w:spacing w:before="240" w:after="80" w:line="288" w:lineRule="auto"/>
        <w:outlineLvl w:val="3"/>
      </w:pPr>
      <w:r>
        <w:rPr>
          <w:rFonts w:ascii="Arial" w:hAnsi="Arial" w:eastAsia="等线" w:cs="Arial"/>
          <w:b/>
          <w:sz w:val="26"/>
          <w:szCs w:val="26"/>
        </w:rPr>
        <w:t>模块简介</w:t>
      </w:r>
    </w:p>
    <w:p w14:paraId="16D364E2">
      <w:pPr>
        <w:spacing w:before="240" w:after="80" w:line="288" w:lineRule="auto"/>
        <w:outlineLvl w:val="3"/>
      </w:pPr>
      <w:r>
        <w:rPr>
          <w:rFonts w:ascii="Arial" w:hAnsi="Arial" w:eastAsia="等线" w:cs="Arial"/>
          <w:b/>
          <w:sz w:val="26"/>
          <w:szCs w:val="26"/>
        </w:rPr>
        <w:t>操作说明</w:t>
      </w:r>
    </w:p>
    <w:p w14:paraId="2A5DE539">
      <w:pPr>
        <w:spacing w:before="120" w:after="120" w:line="288" w:lineRule="auto"/>
        <w:ind w:left="0" w:firstLine="0"/>
        <w:jc w:val="left"/>
      </w:pPr>
      <w:r>
        <w:rPr>
          <w:rFonts w:ascii="Arial" w:hAnsi="Arial" w:eastAsia="等线" w:cs="Arial"/>
          <w:sz w:val="22"/>
        </w:rPr>
        <w:t>本模块主要维护户号的基础信息与资源关联信息</w:t>
      </w:r>
    </w:p>
    <w:p w14:paraId="752C50C3">
      <w:pPr>
        <w:spacing w:before="120" w:after="120" w:line="288" w:lineRule="auto"/>
        <w:ind w:left="0"/>
        <w:jc w:val="center"/>
        <w:rPr>
          <w:rFonts w:hint="default"/>
        </w:rPr>
      </w:pPr>
      <w:r>
        <w:rPr>
          <w:rFonts w:hint="default"/>
        </w:rPr>
        <w:drawing>
          <wp:inline distT="0" distB="0" distL="114300" distR="114300">
            <wp:extent cx="5269230" cy="5101590"/>
            <wp:effectExtent l="0" t="0" r="7620" b="3810"/>
            <wp:docPr id="1292" name="图片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 name="图片 1292"/>
                    <pic:cNvPicPr>
                      <a:picLocks noChangeAspect="1"/>
                    </pic:cNvPicPr>
                  </pic:nvPicPr>
                  <pic:blipFill>
                    <a:blip r:embed="rId30"/>
                    <a:stretch>
                      <a:fillRect/>
                    </a:stretch>
                  </pic:blipFill>
                  <pic:spPr>
                    <a:xfrm>
                      <a:off x="0" y="0"/>
                      <a:ext cx="5269230" cy="5101590"/>
                    </a:xfrm>
                    <a:prstGeom prst="rect">
                      <a:avLst/>
                    </a:prstGeom>
                  </pic:spPr>
                </pic:pic>
              </a:graphicData>
            </a:graphic>
          </wp:inline>
        </w:drawing>
      </w:r>
    </w:p>
    <w:p w14:paraId="23F614EF">
      <w:pPr>
        <w:spacing w:before="120" w:after="120" w:line="288" w:lineRule="auto"/>
        <w:ind w:left="0"/>
        <w:jc w:val="left"/>
      </w:pPr>
      <w:r>
        <w:rPr>
          <w:rFonts w:ascii="Arial" w:hAnsi="Arial" w:eastAsia="等线" w:cs="Arial"/>
          <w:sz w:val="22"/>
        </w:rPr>
        <w:t>点击新增档案以维护</w:t>
      </w:r>
    </w:p>
    <w:p w14:paraId="6D88585C">
      <w:pPr>
        <w:spacing w:before="120" w:after="120" w:line="288" w:lineRule="auto"/>
        <w:ind w:left="0"/>
        <w:jc w:val="center"/>
        <w:rPr>
          <w:rFonts w:hint="default"/>
        </w:rPr>
      </w:pPr>
      <w:r>
        <w:rPr>
          <w:rFonts w:hint="default"/>
        </w:rPr>
        <w:drawing>
          <wp:inline distT="0" distB="0" distL="114300" distR="114300">
            <wp:extent cx="5264150" cy="1997075"/>
            <wp:effectExtent l="0" t="0" r="12700" b="3175"/>
            <wp:docPr id="1293" name="图片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 name="图片 1293"/>
                    <pic:cNvPicPr>
                      <a:picLocks noChangeAspect="1"/>
                    </pic:cNvPicPr>
                  </pic:nvPicPr>
                  <pic:blipFill>
                    <a:blip r:embed="rId31"/>
                    <a:stretch>
                      <a:fillRect/>
                    </a:stretch>
                  </pic:blipFill>
                  <pic:spPr>
                    <a:xfrm>
                      <a:off x="0" y="0"/>
                      <a:ext cx="5264150" cy="1997075"/>
                    </a:xfrm>
                    <a:prstGeom prst="rect">
                      <a:avLst/>
                    </a:prstGeom>
                  </pic:spPr>
                </pic:pic>
              </a:graphicData>
            </a:graphic>
          </wp:inline>
        </w:drawing>
      </w:r>
    </w:p>
    <w:p w14:paraId="2E68877A">
      <w:pPr>
        <w:spacing w:before="120" w:after="120" w:line="288" w:lineRule="auto"/>
        <w:ind w:left="0" w:firstLine="0"/>
        <w:jc w:val="left"/>
      </w:pPr>
      <w:r>
        <w:rPr>
          <w:rFonts w:ascii="Arial" w:hAnsi="Arial" w:eastAsia="等线" w:cs="Arial"/>
          <w:sz w:val="22"/>
        </w:rPr>
        <w:t>点击批量导入可下载模板填写后一并批量上传。上传时如有错误将作为无效数据进行导出。</w:t>
      </w:r>
    </w:p>
    <w:p w14:paraId="48EBB10B">
      <w:pPr>
        <w:spacing w:before="300" w:after="120" w:line="288" w:lineRule="auto"/>
        <w:ind w:left="0"/>
        <w:jc w:val="left"/>
        <w:outlineLvl w:val="2"/>
      </w:pPr>
      <w:bookmarkStart w:id="11" w:name="heading_177"/>
      <w:r>
        <w:rPr>
          <w:rFonts w:hint="eastAsia" w:ascii="Arial" w:hAnsi="Arial" w:eastAsia="等线" w:cs="Arial"/>
          <w:b/>
          <w:sz w:val="30"/>
          <w:szCs w:val="30"/>
          <w:lang w:eastAsia="zh"/>
        </w:rPr>
        <w:t>3</w:t>
      </w:r>
      <w:r>
        <w:rPr>
          <w:rFonts w:ascii="Arial" w:hAnsi="Arial" w:eastAsia="等线" w:cs="Arial"/>
          <w:b/>
          <w:sz w:val="30"/>
          <w:szCs w:val="30"/>
        </w:rPr>
        <w:t>.4 计量点档案</w:t>
      </w:r>
      <w:bookmarkEnd w:id="11"/>
    </w:p>
    <w:p w14:paraId="54645DAA">
      <w:pPr>
        <w:spacing w:before="240" w:after="80" w:line="288" w:lineRule="auto"/>
        <w:outlineLvl w:val="3"/>
      </w:pPr>
      <w:r>
        <w:rPr>
          <w:rFonts w:ascii="Arial" w:hAnsi="Arial" w:eastAsia="等线" w:cs="Arial"/>
          <w:b/>
          <w:sz w:val="26"/>
          <w:szCs w:val="26"/>
        </w:rPr>
        <w:t>模块简介</w:t>
      </w:r>
    </w:p>
    <w:p w14:paraId="57DBAFF4">
      <w:pPr>
        <w:spacing w:before="240" w:after="80" w:line="288" w:lineRule="auto"/>
        <w:outlineLvl w:val="3"/>
      </w:pPr>
      <w:r>
        <w:rPr>
          <w:rFonts w:ascii="Arial" w:hAnsi="Arial" w:eastAsia="等线" w:cs="Arial"/>
          <w:b/>
          <w:sz w:val="26"/>
          <w:szCs w:val="26"/>
        </w:rPr>
        <w:t>操作说明</w:t>
      </w:r>
    </w:p>
    <w:p w14:paraId="34DB0E3E">
      <w:pPr>
        <w:spacing w:before="120" w:after="120" w:line="288" w:lineRule="auto"/>
        <w:ind w:left="0"/>
        <w:jc w:val="left"/>
      </w:pPr>
      <w:r>
        <w:rPr>
          <w:rFonts w:ascii="Arial" w:hAnsi="Arial" w:eastAsia="等线" w:cs="Arial"/>
          <w:sz w:val="22"/>
        </w:rPr>
        <w:t>本模块主要维护计量点的基础信息与资源关联信息</w:t>
      </w:r>
    </w:p>
    <w:p w14:paraId="2CE86468">
      <w:pPr>
        <w:spacing w:before="120" w:after="120" w:line="288" w:lineRule="auto"/>
        <w:ind w:left="0"/>
        <w:jc w:val="center"/>
        <w:rPr>
          <w:rFonts w:hint="default"/>
        </w:rPr>
      </w:pPr>
      <w:r>
        <w:rPr>
          <w:rFonts w:hint="default"/>
        </w:rPr>
        <w:drawing>
          <wp:inline distT="0" distB="0" distL="114300" distR="114300">
            <wp:extent cx="5271135" cy="6254115"/>
            <wp:effectExtent l="0" t="0" r="5715" b="13335"/>
            <wp:docPr id="1294" name="图片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 name="图片 1294"/>
                    <pic:cNvPicPr>
                      <a:picLocks noChangeAspect="1"/>
                    </pic:cNvPicPr>
                  </pic:nvPicPr>
                  <pic:blipFill>
                    <a:blip r:embed="rId32"/>
                    <a:stretch>
                      <a:fillRect/>
                    </a:stretch>
                  </pic:blipFill>
                  <pic:spPr>
                    <a:xfrm>
                      <a:off x="0" y="0"/>
                      <a:ext cx="5271135" cy="6254115"/>
                    </a:xfrm>
                    <a:prstGeom prst="rect">
                      <a:avLst/>
                    </a:prstGeom>
                  </pic:spPr>
                </pic:pic>
              </a:graphicData>
            </a:graphic>
          </wp:inline>
        </w:drawing>
      </w:r>
    </w:p>
    <w:p w14:paraId="6B62F779">
      <w:pPr>
        <w:spacing w:before="120" w:after="120" w:line="288" w:lineRule="auto"/>
        <w:ind w:left="0"/>
        <w:jc w:val="left"/>
      </w:pPr>
      <w:r>
        <w:rPr>
          <w:rFonts w:ascii="Arial" w:hAnsi="Arial" w:eastAsia="等线" w:cs="Arial"/>
          <w:sz w:val="22"/>
        </w:rPr>
        <w:t>点击新增以维护</w:t>
      </w:r>
    </w:p>
    <w:p w14:paraId="39FA9F8C">
      <w:pPr>
        <w:spacing w:before="120" w:after="120" w:line="288" w:lineRule="auto"/>
        <w:ind w:left="0"/>
        <w:jc w:val="center"/>
        <w:rPr>
          <w:rFonts w:hint="default"/>
        </w:rPr>
      </w:pPr>
      <w:r>
        <w:rPr>
          <w:rFonts w:hint="default"/>
        </w:rPr>
        <w:drawing>
          <wp:inline distT="0" distB="0" distL="114300" distR="114300">
            <wp:extent cx="5262245" cy="2058035"/>
            <wp:effectExtent l="0" t="0" r="14605" b="18415"/>
            <wp:docPr id="1295" name="图片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 name="图片 1295"/>
                    <pic:cNvPicPr>
                      <a:picLocks noChangeAspect="1"/>
                    </pic:cNvPicPr>
                  </pic:nvPicPr>
                  <pic:blipFill>
                    <a:blip r:embed="rId33"/>
                    <a:stretch>
                      <a:fillRect/>
                    </a:stretch>
                  </pic:blipFill>
                  <pic:spPr>
                    <a:xfrm>
                      <a:off x="0" y="0"/>
                      <a:ext cx="5262245" cy="2058035"/>
                    </a:xfrm>
                    <a:prstGeom prst="rect">
                      <a:avLst/>
                    </a:prstGeom>
                  </pic:spPr>
                </pic:pic>
              </a:graphicData>
            </a:graphic>
          </wp:inline>
        </w:drawing>
      </w:r>
    </w:p>
    <w:p w14:paraId="3218196C">
      <w:pPr>
        <w:spacing w:before="120" w:after="120" w:line="288" w:lineRule="auto"/>
        <w:ind w:left="0"/>
        <w:jc w:val="left"/>
      </w:pPr>
      <w:r>
        <w:rPr>
          <w:rFonts w:ascii="Arial" w:hAnsi="Arial" w:eastAsia="等线" w:cs="Arial"/>
          <w:sz w:val="22"/>
        </w:rPr>
        <w:t>点击批量导入可下载模板填写后一并批量上传。上传时如有错误将作为无效数据进行导出。</w:t>
      </w:r>
    </w:p>
    <w:p w14:paraId="2B40D0EB">
      <w:pPr>
        <w:spacing w:before="320" w:after="120" w:line="288" w:lineRule="auto"/>
        <w:ind w:left="0"/>
        <w:jc w:val="left"/>
        <w:outlineLvl w:val="1"/>
      </w:pPr>
      <w:bookmarkStart w:id="12" w:name="_Toc24240"/>
      <w:bookmarkStart w:id="13" w:name="heading_178"/>
      <w:r>
        <w:rPr>
          <w:rFonts w:hint="eastAsia" w:ascii="Arial" w:hAnsi="Arial" w:eastAsia="等线" w:cs="Arial"/>
          <w:b/>
          <w:sz w:val="36"/>
          <w:szCs w:val="36"/>
          <w:lang w:eastAsia="zh"/>
        </w:rPr>
        <w:t>4</w:t>
      </w:r>
      <w:r>
        <w:rPr>
          <w:rFonts w:ascii="Arial" w:hAnsi="Arial" w:eastAsia="等线" w:cs="Arial"/>
          <w:b/>
          <w:sz w:val="36"/>
          <w:szCs w:val="36"/>
        </w:rPr>
        <w:t>交易管理</w:t>
      </w:r>
      <w:bookmarkEnd w:id="12"/>
      <w:bookmarkEnd w:id="13"/>
    </w:p>
    <w:p w14:paraId="35B422FA">
      <w:pPr>
        <w:spacing w:before="300" w:after="120" w:line="288" w:lineRule="auto"/>
        <w:ind w:left="0"/>
        <w:jc w:val="left"/>
        <w:outlineLvl w:val="2"/>
        <w:rPr>
          <w:rFonts w:ascii="Arial" w:hAnsi="Arial" w:eastAsia="等线" w:cs="Arial"/>
          <w:b/>
          <w:sz w:val="30"/>
        </w:rPr>
      </w:pPr>
      <w:bookmarkStart w:id="14" w:name="heading_180"/>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1</w:t>
      </w:r>
      <w:r>
        <w:rPr>
          <w:rFonts w:ascii="Arial" w:hAnsi="Arial" w:eastAsia="等线" w:cs="Arial"/>
          <w:b/>
          <w:sz w:val="30"/>
          <w:szCs w:val="30"/>
        </w:rPr>
        <w:t>交易持仓</w:t>
      </w:r>
      <w:bookmarkEnd w:id="14"/>
    </w:p>
    <w:p w14:paraId="71BD7472">
      <w:pPr>
        <w:spacing w:before="240" w:after="80" w:line="288" w:lineRule="auto"/>
        <w:outlineLvl w:val="3"/>
      </w:pPr>
      <w:r>
        <w:rPr>
          <w:rFonts w:ascii="Arial" w:hAnsi="Arial" w:eastAsia="等线" w:cs="Arial"/>
          <w:b/>
          <w:sz w:val="26"/>
          <w:szCs w:val="26"/>
        </w:rPr>
        <w:t>模块简介</w:t>
      </w:r>
    </w:p>
    <w:p w14:paraId="5BE1F404">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（1）总持仓</w:t>
      </w:r>
    </w:p>
    <w:p w14:paraId="29995CAF">
      <w:pPr>
        <w:spacing w:before="120" w:after="120" w:line="288" w:lineRule="auto"/>
        <w:ind w:left="0" w:firstLine="0"/>
        <w:jc w:val="left"/>
        <w:rPr>
          <w:rFonts w:hint="default"/>
        </w:rPr>
      </w:pPr>
      <w:r>
        <w:rPr>
          <w:rFonts w:ascii="Arial" w:hAnsi="Arial" w:eastAsia="等线" w:cs="Arial"/>
          <w:sz w:val="22"/>
        </w:rPr>
        <w:t>本模块聚焦电力交易业务的持仓管理场景，通过多维度数据展示，帮助用户全面掌握不同时段、不同品种的电力交易持仓情况，辅助用户进行交易头寸管理、风险控制与策略优化。</w:t>
      </w:r>
      <w:r>
        <w:rPr>
          <w:rFonts w:hint="default"/>
        </w:rPr>
        <w:drawing>
          <wp:inline distT="0" distB="0" distL="114300" distR="114300">
            <wp:extent cx="5267960" cy="2646680"/>
            <wp:effectExtent l="0" t="0" r="8890" b="1270"/>
            <wp:docPr id="1299" name="图片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 name="图片 1299"/>
                    <pic:cNvPicPr>
                      <a:picLocks noChangeAspect="1"/>
                    </pic:cNvPicPr>
                  </pic:nvPicPr>
                  <pic:blipFill>
                    <a:blip r:embed="rId34"/>
                    <a:stretch>
                      <a:fillRect/>
                    </a:stretch>
                  </pic:blipFill>
                  <pic:spPr>
                    <a:xfrm>
                      <a:off x="0" y="0"/>
                      <a:ext cx="5267960" cy="2646680"/>
                    </a:xfrm>
                    <a:prstGeom prst="rect">
                      <a:avLst/>
                    </a:prstGeom>
                  </pic:spPr>
                </pic:pic>
              </a:graphicData>
            </a:graphic>
          </wp:inline>
        </w:drawing>
      </w:r>
    </w:p>
    <w:p w14:paraId="57E40CC7">
      <w:pPr>
        <w:spacing w:before="240" w:after="80" w:line="288" w:lineRule="auto"/>
        <w:outlineLvl w:val="3"/>
      </w:pPr>
      <w:r>
        <w:rPr>
          <w:rFonts w:ascii="Arial" w:hAnsi="Arial" w:eastAsia="等线" w:cs="Arial"/>
          <w:b/>
          <w:sz w:val="26"/>
          <w:szCs w:val="26"/>
        </w:rPr>
        <w:t>操作说明</w:t>
      </w:r>
    </w:p>
    <w:p w14:paraId="3D9310F9">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点击月份以进行展示的时间周期的调整。</w:t>
      </w:r>
    </w:p>
    <w:p w14:paraId="406C2443">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品种依据交易中心配置中的内容进行展示，火电或绿电取决于品种对应的电力类型，绿电、光伏绿电、风力绿电都作为绿电电量。常规电即火电。</w:t>
      </w:r>
    </w:p>
    <w:p w14:paraId="1FEF457A">
      <w:pPr>
        <w:spacing w:before="120" w:after="120" w:line="288" w:lineRule="auto"/>
        <w:ind w:left="0" w:firstLine="0"/>
        <w:jc w:val="both"/>
        <w:rPr>
          <w:rFonts w:hint="default" w:ascii="Arial" w:hAnsi="Arial" w:eastAsia="等线" w:cs="Arial"/>
          <w:sz w:val="22"/>
          <w:lang w:val="en-US" w:eastAsia="zh-CN"/>
        </w:rPr>
      </w:pPr>
      <w:r>
        <w:rPr>
          <w:rFonts w:hint="eastAsia" w:ascii="Arial" w:hAnsi="Arial" w:eastAsia="等线" w:cs="Arial"/>
          <w:sz w:val="22"/>
          <w:lang w:val="en-US" w:eastAsia="zh-CN"/>
        </w:rPr>
        <w:t>（2）分时持仓</w:t>
      </w:r>
    </w:p>
    <w:p w14:paraId="1E42F585">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 顶部查询与操作区</w:t>
      </w:r>
    </w:p>
    <w:p w14:paraId="3E99E4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日期范围选择：可自定义起始与结束日期（如示例中的 2026-06-01 至 2026-06-30），用于指定需要分析的持仓数据时间区间。</w:t>
      </w:r>
    </w:p>
    <w:p w14:paraId="1CB4457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「重置」按钮：点击后清空当前设置的日期条件，恢复到系统默认状态，便于重新设置查询条件。</w:t>
      </w:r>
    </w:p>
    <w:p w14:paraId="3DA88D0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「查询」按钮：日期范围设置完成后，点击该按钮加载并展示对应时段内的持仓数据。</w:t>
      </w:r>
    </w:p>
    <w:p w14:paraId="4D086C0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「导出」按钮：可将当前查询到的持仓数据导出为文件，方便用户进行本地存档与进一步分析。</w:t>
      </w:r>
    </w:p>
    <w:p w14:paraId="09DD19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「总持仓 / 分时持仓」标签：可切换分析视角，分别查看整体持仓汇总数据或按日 / 分时维度的持仓明细数据。</w:t>
      </w:r>
    </w:p>
    <w:p w14:paraId="7F187F5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 核心数据展示区</w:t>
      </w:r>
    </w:p>
    <w:p w14:paraId="318918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（1）当前持仓明细表格</w:t>
      </w:r>
    </w:p>
    <w:p w14:paraId="64BA2C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以表格形式展示所选时段内每日的分时持仓电量（单位：MWh），包含每个时段的持仓量及当日总计。</w:t>
      </w:r>
    </w:p>
    <w:p w14:paraId="1321E832">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支持分页浏览，可通过页码控件切换不同日期的数据，便于核对每日持仓的分时分布。</w:t>
      </w:r>
    </w:p>
    <w:p w14:paraId="6D3503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（2）天级持仓情况柱状图</w:t>
      </w:r>
    </w:p>
    <w:p w14:paraId="2036118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以柱状图形式展示所选时段内每日总持仓电量的变化趋势，可直观识别持仓规模的波动情况与高峰时段。</w:t>
      </w:r>
    </w:p>
    <w:p w14:paraId="22A8551D">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（3）分时持仓情况柱状图</w:t>
      </w:r>
    </w:p>
    <w:p w14:paraId="496910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以柱状图形式展示单日 24 小时（含半小时时段）的持仓电量分布，可清晰看到不同时段的持仓强度，辅助分析日内交易头寸分布特征。</w:t>
      </w:r>
    </w:p>
    <w:p w14:paraId="417719F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（4）品种持仓情况柱状图</w:t>
      </w:r>
    </w:p>
    <w:p w14:paraId="1747D8CC">
      <w:pPr>
        <w:spacing w:before="120" w:after="120" w:line="288" w:lineRule="auto"/>
        <w:ind w:left="0" w:firstLine="0"/>
        <w:jc w:val="both"/>
        <w:rPr>
          <w:rFonts w:ascii="Arial" w:hAnsi="Arial" w:eastAsia="等线" w:cs="Arial"/>
          <w:sz w:val="22"/>
        </w:rPr>
      </w:pPr>
      <w:r>
        <w:rPr>
          <w:rFonts w:hint="eastAsia" w:ascii="Arial" w:hAnsi="Arial" w:eastAsia="等线" w:cs="Arial"/>
          <w:sz w:val="22"/>
          <w:lang w:val="en-US" w:eastAsia="zh-CN"/>
        </w:rPr>
        <w:t>以对比柱状图形式，展示不同交易品种（如年度双边交易、月度双边交易、月度挂牌交易等）的购入 / 售出电量，帮助用户了解不同交易品种的持仓构成与规模。</w:t>
      </w:r>
    </w:p>
    <w:p w14:paraId="73AEAF5B">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szCs w:val="30"/>
          <w:lang w:val="en-US" w:eastAsia="zh-CN"/>
        </w:rPr>
        <w:t>4.2中长期交易策略</w:t>
      </w:r>
    </w:p>
    <w:p w14:paraId="7AFDC1C6">
      <w:pPr>
        <w:spacing w:before="240" w:after="80" w:line="288" w:lineRule="auto"/>
        <w:outlineLvl w:val="3"/>
      </w:pPr>
      <w:r>
        <w:rPr>
          <w:rFonts w:ascii="Arial" w:hAnsi="Arial" w:eastAsia="等线" w:cs="Arial"/>
          <w:b/>
          <w:sz w:val="26"/>
          <w:szCs w:val="26"/>
        </w:rPr>
        <w:t>模块简介</w:t>
      </w:r>
    </w:p>
    <w:p w14:paraId="518567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本模块为电力交易</w:t>
      </w:r>
      <w:r>
        <w:rPr>
          <w:rFonts w:hint="eastAsia" w:ascii="宋体" w:hAnsi="宋体" w:eastAsia="宋体" w:cs="宋体"/>
          <w:color w:val="000000"/>
          <w:kern w:val="0"/>
          <w:sz w:val="24"/>
          <w:szCs w:val="24"/>
          <w:lang w:val="en-US" w:eastAsia="zh-CN" w:bidi="ar"/>
        </w:rPr>
        <w:t>中长期交易</w:t>
      </w:r>
      <w:r>
        <w:rPr>
          <w:rFonts w:ascii="宋体" w:hAnsi="宋体" w:eastAsia="宋体" w:cs="宋体"/>
          <w:color w:val="000000"/>
          <w:kern w:val="0"/>
          <w:sz w:val="24"/>
          <w:szCs w:val="24"/>
          <w:lang w:val="en-US" w:eastAsia="zh-CN" w:bidi="ar"/>
        </w:rPr>
        <w:t>业务提供</w:t>
      </w:r>
      <w:r>
        <w:rPr>
          <w:rStyle w:val="16"/>
          <w:rFonts w:ascii="宋体" w:hAnsi="宋体" w:eastAsia="宋体" w:cs="宋体"/>
          <w:b/>
          <w:bCs/>
          <w:color w:val="000000"/>
          <w:kern w:val="0"/>
          <w:sz w:val="24"/>
          <w:szCs w:val="24"/>
          <w:lang w:val="en-US" w:eastAsia="zh-CN" w:bidi="ar"/>
        </w:rPr>
        <w:t>价格预测</w:t>
      </w:r>
      <w:r>
        <w:rPr>
          <w:rFonts w:ascii="宋体" w:hAnsi="宋体" w:eastAsia="宋体" w:cs="宋体"/>
          <w:color w:val="000000"/>
          <w:kern w:val="0"/>
          <w:sz w:val="24"/>
          <w:szCs w:val="24"/>
          <w:lang w:val="en-US" w:eastAsia="zh-CN" w:bidi="ar"/>
        </w:rPr>
        <w:t>与</w:t>
      </w:r>
      <w:r>
        <w:rPr>
          <w:rStyle w:val="16"/>
          <w:rFonts w:ascii="宋体" w:hAnsi="宋体" w:eastAsia="宋体" w:cs="宋体"/>
          <w:b/>
          <w:bCs/>
          <w:color w:val="000000"/>
          <w:kern w:val="0"/>
          <w:sz w:val="24"/>
          <w:szCs w:val="24"/>
          <w:lang w:val="en-US" w:eastAsia="zh-CN" w:bidi="ar"/>
        </w:rPr>
        <w:t>负荷供需预测</w:t>
      </w:r>
      <w:r>
        <w:rPr>
          <w:rFonts w:ascii="宋体" w:hAnsi="宋体" w:eastAsia="宋体" w:cs="宋体"/>
          <w:color w:val="000000"/>
          <w:kern w:val="0"/>
          <w:sz w:val="24"/>
          <w:szCs w:val="24"/>
          <w:lang w:val="en-US" w:eastAsia="zh-CN" w:bidi="ar"/>
        </w:rPr>
        <w:t>两大核心分析能力，通过多品种价格趋势与多维度负荷数据的可视化，帮助用户提前预判市场价格走势与供需缺口，为交易报价、持仓优化与风险管控提供决策依据。</w:t>
      </w:r>
    </w:p>
    <w:p w14:paraId="34D550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 顶部查询与操作区</w:t>
      </w:r>
    </w:p>
    <w:p w14:paraId="483D7560">
      <w:pPr>
        <w:spacing w:before="240" w:after="80" w:line="288" w:lineRule="auto"/>
        <w:outlineLvl w:val="3"/>
      </w:pPr>
      <w:r>
        <w:rPr>
          <w:rFonts w:ascii="Arial" w:hAnsi="Arial" w:eastAsia="等线" w:cs="Arial"/>
          <w:b/>
          <w:sz w:val="26"/>
          <w:szCs w:val="26"/>
        </w:rPr>
        <w:t>操作说明</w:t>
      </w:r>
    </w:p>
    <w:p w14:paraId="1A445C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月份选择：可自定义分析的目标月份（如示例中的 2026-06），用于指定价格与负荷预测的时间范围。</w:t>
      </w:r>
    </w:p>
    <w:p w14:paraId="71376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地区切换：可切换不同地区（如示例中的 “浙江”），查看对应区域的预测数据。</w:t>
      </w:r>
    </w:p>
    <w:p w14:paraId="7548EF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「重置」按钮：点击后清空当前设置的月份与地区条件，恢复到系统默认状态，便于重新设置查询条件。</w:t>
      </w:r>
    </w:p>
    <w:p w14:paraId="14131E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「查询」按钮：条件设置完成后，点击该按钮加载并展示对应月份的价格与负荷预测数据。</w:t>
      </w:r>
    </w:p>
    <w:p w14:paraId="7F59C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「交易模拟」按钮：可进入交易模拟功能，基于预测数据进行策略推演。</w:t>
      </w:r>
    </w:p>
    <w:p w14:paraId="268632EE">
      <w:pPr>
        <w:numPr>
          <w:ilvl w:val="0"/>
          <w:numId w:val="0"/>
        </w:numPr>
        <w:spacing w:before="120" w:after="120" w:line="288" w:lineRule="auto"/>
        <w:jc w:val="left"/>
        <w:rPr>
          <w:rFonts w:ascii="Arial" w:hAnsi="Arial" w:eastAsia="等线" w:cs="Arial"/>
          <w:sz w:val="22"/>
        </w:rPr>
      </w:pPr>
    </w:p>
    <w:p w14:paraId="0440949D">
      <w:pPr>
        <w:spacing w:before="120" w:after="120" w:line="288" w:lineRule="auto"/>
        <w:ind w:left="0"/>
        <w:jc w:val="center"/>
        <w:rPr>
          <w:rFonts w:hint="default"/>
        </w:rPr>
      </w:pPr>
      <w:r>
        <w:drawing>
          <wp:inline distT="0" distB="0" distL="114300" distR="114300">
            <wp:extent cx="5268595" cy="673735"/>
            <wp:effectExtent l="0" t="0" r="8255" b="12065"/>
            <wp:docPr id="1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4"/>
                    <pic:cNvPicPr>
                      <a:picLocks noChangeAspect="1"/>
                    </pic:cNvPicPr>
                  </pic:nvPicPr>
                  <pic:blipFill>
                    <a:blip r:embed="rId35"/>
                    <a:stretch>
                      <a:fillRect/>
                    </a:stretch>
                  </pic:blipFill>
                  <pic:spPr>
                    <a:xfrm>
                      <a:off x="0" y="0"/>
                      <a:ext cx="5268595" cy="673735"/>
                    </a:xfrm>
                    <a:prstGeom prst="rect">
                      <a:avLst/>
                    </a:prstGeom>
                    <a:noFill/>
                    <a:ln>
                      <a:noFill/>
                    </a:ln>
                  </pic:spPr>
                </pic:pic>
              </a:graphicData>
            </a:graphic>
          </wp:inline>
        </w:drawing>
      </w:r>
    </w:p>
    <w:p w14:paraId="44473E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 核心数据展示区</w:t>
      </w:r>
    </w:p>
    <w:p w14:paraId="6713F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（1）各品种价格预测图</w:t>
      </w:r>
    </w:p>
    <w:p w14:paraId="2EC73C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以多线图形式展示不同交易品种（日前价格、实时价格、日滚动撮合、年度 / 月度双边交易、年度 / 月度集中竞价、绿电交易等）的价格走势，其中虚线部分为预测数据。</w:t>
      </w:r>
    </w:p>
    <w:p w14:paraId="05EAE6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支持查看「平均价格趋势」和「各分时价格趋势」，可直观对比不同品种的价格差异、波动规律与未来走势，辅助交易品种选择与报价策略制定。</w:t>
      </w:r>
    </w:p>
    <w:p w14:paraId="20C41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59070" cy="1460500"/>
            <wp:effectExtent l="0" t="0" r="17780" b="6350"/>
            <wp:docPr id="1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
                    <pic:cNvPicPr>
                      <a:picLocks noChangeAspect="1"/>
                    </pic:cNvPicPr>
                  </pic:nvPicPr>
                  <pic:blipFill>
                    <a:blip r:embed="rId36"/>
                    <a:stretch>
                      <a:fillRect/>
                    </a:stretch>
                  </pic:blipFill>
                  <pic:spPr>
                    <a:xfrm>
                      <a:off x="0" y="0"/>
                      <a:ext cx="5259070" cy="1460500"/>
                    </a:xfrm>
                    <a:prstGeom prst="rect">
                      <a:avLst/>
                    </a:prstGeom>
                    <a:noFill/>
                    <a:ln>
                      <a:noFill/>
                    </a:ln>
                  </pic:spPr>
                </pic:pic>
              </a:graphicData>
            </a:graphic>
          </wp:inline>
        </w:drawing>
      </w:r>
    </w:p>
    <w:p w14:paraId="0E010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（2）负荷预测（月累计）图</w:t>
      </w:r>
    </w:p>
    <w:p w14:paraId="1EDE2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以面积 + 折线组合图形式，展示月度维度的实际用电量、预计用电量、年度持仓、月度持仓累计变化趋势。</w:t>
      </w:r>
    </w:p>
    <w:p w14:paraId="49F78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可清晰对比实际用电与预计用电的偏差，以及年度 / 月度持仓量与用电需求的匹配情况，辅助评估月度供需平衡与持仓缺口。</w:t>
      </w:r>
    </w:p>
    <w:p w14:paraId="4352D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60975" cy="1521460"/>
            <wp:effectExtent l="0" t="0" r="15875" b="2540"/>
            <wp:docPr id="1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
                    <pic:cNvPicPr>
                      <a:picLocks noChangeAspect="1"/>
                    </pic:cNvPicPr>
                  </pic:nvPicPr>
                  <pic:blipFill>
                    <a:blip r:embed="rId37"/>
                    <a:stretch>
                      <a:fillRect/>
                    </a:stretch>
                  </pic:blipFill>
                  <pic:spPr>
                    <a:xfrm>
                      <a:off x="0" y="0"/>
                      <a:ext cx="5260975" cy="1521460"/>
                    </a:xfrm>
                    <a:prstGeom prst="rect">
                      <a:avLst/>
                    </a:prstGeom>
                    <a:noFill/>
                    <a:ln>
                      <a:noFill/>
                    </a:ln>
                  </pic:spPr>
                </pic:pic>
              </a:graphicData>
            </a:graphic>
          </wp:inline>
        </w:drawing>
      </w:r>
    </w:p>
    <w:p w14:paraId="55D9F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（3）负荷预测（分时段）图</w:t>
      </w:r>
    </w:p>
    <w:p w14:paraId="58519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以柱状 + 折线组合图形式，展示日维度的实际用电量、预计用电量、年度持仓、月度持仓的分时段分布。</w:t>
      </w:r>
    </w:p>
    <w:p w14:paraId="173F8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p>
    <w:p w14:paraId="588AC5B0">
      <w:pPr>
        <w:keepNext w:val="0"/>
        <w:keepLines w:val="0"/>
        <w:widowControl w:val="0"/>
        <w:suppressLineNumbers w:val="0"/>
        <w:spacing w:before="0" w:beforeAutospacing="0" w:after="0" w:afterAutospacing="0"/>
        <w:ind w:left="0" w:right="0"/>
        <w:jc w:val="both"/>
      </w:pPr>
      <w:r>
        <w:rPr>
          <w:rFonts w:hint="eastAsia" w:ascii="宋体" w:hAnsi="宋体" w:eastAsia="宋体" w:cs="宋体"/>
          <w:color w:val="000000"/>
          <w:kern w:val="0"/>
          <w:sz w:val="24"/>
          <w:szCs w:val="24"/>
          <w:lang w:val="en-US" w:eastAsia="zh-CN" w:bidi="ar"/>
        </w:rPr>
        <w:t>可直观查看每日不同时段的用电需求与持仓覆盖情况，识别供需缺口时段，为日内交易策略提供支撑；支持切换查看「日负荷走势」和「各分时负荷趋势」</w:t>
      </w:r>
    </w:p>
    <w:p w14:paraId="45FEF7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细节。</w:t>
      </w:r>
    </w:p>
    <w:p w14:paraId="005F5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default" w:ascii="宋体" w:hAnsi="宋体" w:eastAsia="宋体" w:cs="宋体"/>
          <w:color w:val="000000"/>
          <w:kern w:val="0"/>
          <w:sz w:val="24"/>
          <w:szCs w:val="24"/>
          <w:lang w:val="en-US" w:eastAsia="zh-CN" w:bidi="ar"/>
        </w:rPr>
      </w:pPr>
      <w:r>
        <w:drawing>
          <wp:inline distT="0" distB="0" distL="114300" distR="114300">
            <wp:extent cx="5271770" cy="1461135"/>
            <wp:effectExtent l="0" t="0" r="5080" b="5715"/>
            <wp:docPr id="1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9"/>
                    <pic:cNvPicPr>
                      <a:picLocks noChangeAspect="1"/>
                    </pic:cNvPicPr>
                  </pic:nvPicPr>
                  <pic:blipFill>
                    <a:blip r:embed="rId38"/>
                    <a:stretch>
                      <a:fillRect/>
                    </a:stretch>
                  </pic:blipFill>
                  <pic:spPr>
                    <a:xfrm>
                      <a:off x="0" y="0"/>
                      <a:ext cx="5271770" cy="1461135"/>
                    </a:xfrm>
                    <a:prstGeom prst="rect">
                      <a:avLst/>
                    </a:prstGeom>
                    <a:noFill/>
                    <a:ln>
                      <a:noFill/>
                    </a:ln>
                  </pic:spPr>
                </pic:pic>
              </a:graphicData>
            </a:graphic>
          </wp:inline>
        </w:drawing>
      </w:r>
    </w:p>
    <w:p w14:paraId="66B1B6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4</w:t>
      </w:r>
      <w:r>
        <w:rPr>
          <w:rFonts w:ascii="宋体" w:hAnsi="宋体" w:eastAsia="宋体" w:cs="宋体"/>
          <w:color w:val="000000"/>
          <w:kern w:val="0"/>
          <w:sz w:val="24"/>
          <w:szCs w:val="24"/>
          <w:lang w:val="en-US" w:eastAsia="zh-CN" w:bidi="ar"/>
        </w:rPr>
        <w:t>）年度交易模拟：已经在统调负荷权重配置的页面中，配置好了年分月、月分日和日分时的权重系数。则各个月的电量=合约电量*对应系数。</w:t>
      </w:r>
    </w:p>
    <w:p w14:paraId="67FEF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当选项为年时，右侧的范围支持选择年份，选项范围为统调负荷权重配置中配置了的年份。这里的查找切换是下方的数据表和数据试图的显示样式。</w:t>
      </w:r>
    </w:p>
    <w:p w14:paraId="76900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计算出最新的持仓数据=负荷预测（算法获取）-当前持仓（上传模板获取）-自定义-【统调拆解=统调购入电量*权重】</w:t>
      </w:r>
    </w:p>
    <w:p w14:paraId="6BEE281B">
      <w:pPr>
        <w:spacing w:before="120" w:after="120" w:line="288" w:lineRule="auto"/>
        <w:ind w:left="0"/>
        <w:jc w:val="center"/>
        <w:rPr>
          <w:rFonts w:hint="default"/>
        </w:rPr>
      </w:pPr>
      <w:r>
        <w:rPr>
          <w:rFonts w:hint="default"/>
        </w:rPr>
        <w:drawing>
          <wp:inline distT="0" distB="0" distL="114300" distR="114300">
            <wp:extent cx="5268595" cy="2931160"/>
            <wp:effectExtent l="0" t="0" r="8255" b="2540"/>
            <wp:docPr id="1302" name="图片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图片 1302"/>
                    <pic:cNvPicPr>
                      <a:picLocks noChangeAspect="1"/>
                    </pic:cNvPicPr>
                  </pic:nvPicPr>
                  <pic:blipFill>
                    <a:blip r:embed="rId39"/>
                    <a:stretch>
                      <a:fillRect/>
                    </a:stretch>
                  </pic:blipFill>
                  <pic:spPr>
                    <a:xfrm>
                      <a:off x="0" y="0"/>
                      <a:ext cx="5268595" cy="2931160"/>
                    </a:xfrm>
                    <a:prstGeom prst="rect">
                      <a:avLst/>
                    </a:prstGeom>
                  </pic:spPr>
                </pic:pic>
              </a:graphicData>
            </a:graphic>
          </wp:inline>
        </w:drawing>
      </w:r>
    </w:p>
    <w:p w14:paraId="19D4B888">
      <w:pPr>
        <w:spacing w:before="120" w:after="120" w:line="288" w:lineRule="auto"/>
        <w:ind w:left="0"/>
        <w:jc w:val="left"/>
      </w:pPr>
      <w:r>
        <w:rPr>
          <w:rFonts w:ascii="Arial" w:hAnsi="Arial" w:eastAsia="等线" w:cs="Arial"/>
          <w:sz w:val="22"/>
        </w:rPr>
        <w:t>（</w:t>
      </w:r>
      <w:r>
        <w:rPr>
          <w:rFonts w:hint="eastAsia" w:ascii="Arial" w:hAnsi="Arial" w:eastAsia="等线" w:cs="Arial"/>
          <w:sz w:val="22"/>
          <w:lang w:val="en-US" w:eastAsia="zh-CN"/>
        </w:rPr>
        <w:t>5</w:t>
      </w:r>
      <w:r>
        <w:rPr>
          <w:rFonts w:ascii="Arial" w:hAnsi="Arial" w:eastAsia="等线" w:cs="Arial"/>
          <w:sz w:val="22"/>
        </w:rPr>
        <w:t>）对比：负荷预测电量的线段需要较长，能够和当前持仓产生明显对比。展示对应筛选日期的负荷预测电量、当前持仓电量和待购入电量。</w:t>
      </w:r>
    </w:p>
    <w:p w14:paraId="4751A208">
      <w:pPr>
        <w:spacing w:before="120" w:after="120" w:line="288" w:lineRule="auto"/>
        <w:ind w:left="0" w:firstLine="0"/>
        <w:jc w:val="left"/>
      </w:pPr>
      <w:r>
        <w:rPr>
          <w:rFonts w:ascii="Arial" w:hAnsi="Arial" w:eastAsia="等线" w:cs="Arial"/>
          <w:sz w:val="22"/>
        </w:rPr>
        <w:t>（</w:t>
      </w:r>
      <w:r>
        <w:rPr>
          <w:rFonts w:hint="eastAsia" w:ascii="Arial" w:hAnsi="Arial" w:eastAsia="等线" w:cs="Arial"/>
          <w:sz w:val="22"/>
          <w:lang w:val="en-US" w:eastAsia="zh-CN"/>
        </w:rPr>
        <w:t>6</w:t>
      </w:r>
      <w:r>
        <w:rPr>
          <w:rFonts w:ascii="Arial" w:hAnsi="Arial" w:eastAsia="等线" w:cs="Arial"/>
          <w:sz w:val="22"/>
        </w:rPr>
        <w:t>）月度交易模拟：已经在统调负荷权重配置的页面中，配置好了年分月、月分日和日分时的权重系数。则各个月的电量=合约电量*对应系数。</w:t>
      </w:r>
    </w:p>
    <w:p w14:paraId="7CEC97CD">
      <w:pPr>
        <w:spacing w:before="120" w:after="120" w:line="288" w:lineRule="auto"/>
        <w:ind w:left="0" w:firstLine="0"/>
        <w:jc w:val="left"/>
      </w:pPr>
      <w:r>
        <w:rPr>
          <w:rFonts w:ascii="Arial" w:hAnsi="Arial" w:eastAsia="等线" w:cs="Arial"/>
          <w:sz w:val="22"/>
        </w:rPr>
        <w:t>当选择月份时，右侧的选择框内的内容为1-12月的选择，展示对应正月的每一天。选择为日时同理，展示对应日期范围内每一天的数据</w:t>
      </w:r>
    </w:p>
    <w:p w14:paraId="4E3031F3">
      <w:pPr>
        <w:spacing w:before="120" w:after="120" w:line="288" w:lineRule="auto"/>
        <w:ind w:left="0" w:firstLine="0"/>
        <w:jc w:val="left"/>
      </w:pPr>
      <w:r>
        <w:rPr>
          <w:rFonts w:ascii="Arial" w:hAnsi="Arial" w:eastAsia="等线" w:cs="Arial"/>
          <w:sz w:val="22"/>
        </w:rPr>
        <w:t>计算出最新的持仓数据=负荷预测（算法获取）-当前持仓（上传模板获取）-自定义-【统调拆解=统调购入电量*权重】</w:t>
      </w:r>
    </w:p>
    <w:p w14:paraId="76473148">
      <w:pPr>
        <w:spacing w:before="300" w:after="120" w:line="288" w:lineRule="auto"/>
        <w:ind w:left="0"/>
        <w:jc w:val="left"/>
        <w:outlineLvl w:val="2"/>
        <w:rPr>
          <w:rFonts w:ascii="Arial" w:hAnsi="Arial" w:eastAsia="等线" w:cs="Arial"/>
          <w:b/>
          <w:sz w:val="30"/>
        </w:rPr>
      </w:pPr>
      <w:bookmarkStart w:id="15" w:name="heading_181"/>
      <w:r>
        <w:rPr>
          <w:rFonts w:hint="eastAsia" w:ascii="Arial" w:hAnsi="Arial" w:eastAsia="等线" w:cs="Arial"/>
          <w:b/>
          <w:sz w:val="30"/>
          <w:szCs w:val="30"/>
          <w:lang w:val="en-US" w:eastAsia="zh-CN"/>
        </w:rPr>
        <w:t>4</w:t>
      </w:r>
      <w:r>
        <w:rPr>
          <w:rFonts w:ascii="Arial" w:hAnsi="Arial" w:eastAsia="等线" w:cs="Arial"/>
          <w:b/>
          <w:sz w:val="30"/>
          <w:szCs w:val="30"/>
        </w:rPr>
        <w:t>.3</w:t>
      </w:r>
      <w:bookmarkEnd w:id="15"/>
      <w:r>
        <w:rPr>
          <w:rFonts w:ascii="Arial" w:hAnsi="Arial" w:eastAsia="等线" w:cs="Arial"/>
          <w:b/>
          <w:sz w:val="30"/>
          <w:szCs w:val="30"/>
        </w:rPr>
        <w:t>日滚动撮合策略</w:t>
      </w:r>
    </w:p>
    <w:p w14:paraId="7FD5F8F3">
      <w:pPr>
        <w:spacing w:before="240" w:after="80" w:line="288" w:lineRule="auto"/>
        <w:outlineLvl w:val="3"/>
      </w:pPr>
      <w:r>
        <w:rPr>
          <w:rFonts w:ascii="Arial" w:hAnsi="Arial" w:eastAsia="等线" w:cs="Arial"/>
          <w:b/>
          <w:sz w:val="26"/>
          <w:szCs w:val="26"/>
        </w:rPr>
        <w:t>模块简介</w:t>
      </w:r>
    </w:p>
    <w:p w14:paraId="53AAB3B3">
      <w:pPr>
        <w:spacing w:before="120" w:after="120" w:line="288" w:lineRule="auto"/>
        <w:ind w:left="0" w:firstLine="0"/>
        <w:jc w:val="left"/>
        <w:rPr>
          <w:rFonts w:hint="eastAsia" w:ascii="Arial" w:hAnsi="Arial" w:eastAsia="等线" w:cs="Arial"/>
          <w:sz w:val="22"/>
        </w:rPr>
      </w:pPr>
      <w:r>
        <w:rPr>
          <w:rFonts w:hint="eastAsia" w:ascii="Arial" w:hAnsi="Arial" w:eastAsia="等线" w:cs="Arial"/>
          <w:sz w:val="22"/>
        </w:rPr>
        <w:t>本模块是电力交易业务的日滚动撮合交易策略支撑工具，整合了用电预测、持仓分析、价格监控、交易热力图与盈亏测算等多维度数据，帮助用户全面掌握日滚动交易的供需情况、价格走势与交易收益，为日内交易报价、策略优化与风险控制提供精细化的决策依据。</w:t>
      </w:r>
    </w:p>
    <w:p w14:paraId="2A77D80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1. 顶部查询与操作区</w:t>
      </w:r>
    </w:p>
    <w:p w14:paraId="170A2B54">
      <w:pPr>
        <w:spacing w:before="240" w:after="80" w:line="288" w:lineRule="auto"/>
        <w:outlineLvl w:val="3"/>
      </w:pPr>
      <w:r>
        <w:rPr>
          <w:rFonts w:ascii="Arial" w:hAnsi="Arial" w:eastAsia="等线" w:cs="Arial"/>
          <w:b/>
          <w:sz w:val="26"/>
          <w:szCs w:val="26"/>
        </w:rPr>
        <w:t>操作说明</w:t>
      </w:r>
    </w:p>
    <w:p w14:paraId="0431F3F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交易月份选择：可自定义分析的目标月份（如示例中的 2026-06），确定交易策略分析的时间范围。</w:t>
      </w:r>
    </w:p>
    <w:p w14:paraId="0B7E6243">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价格预测模型切换：支持选择不同的预测模型（如 “太乙 - 通用”“太乙 - 深度训练”），适配不同场景下的价格预测需求。</w:t>
      </w:r>
    </w:p>
    <w:p w14:paraId="6390450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「重置」按钮：点击后清空当前设置的查询条件，恢复到系统默认状态，便于重新设置分析参数。</w:t>
      </w:r>
    </w:p>
    <w:p w14:paraId="390AF8E4">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「查询」按钮：条件设置完成后，点击该按钮加载并展示对应月份的日滚动撮合策略数据。</w:t>
      </w:r>
    </w:p>
    <w:p w14:paraId="46223A69">
      <w:pPr>
        <w:spacing w:before="120" w:after="120" w:line="288" w:lineRule="auto"/>
        <w:ind w:left="0" w:firstLine="0"/>
        <w:jc w:val="both"/>
      </w:pPr>
      <w:r>
        <w:drawing>
          <wp:inline distT="0" distB="0" distL="114300" distR="114300">
            <wp:extent cx="5261610" cy="290195"/>
            <wp:effectExtent l="0" t="0" r="15240" b="14605"/>
            <wp:docPr id="1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0"/>
                    <pic:cNvPicPr>
                      <a:picLocks noChangeAspect="1"/>
                    </pic:cNvPicPr>
                  </pic:nvPicPr>
                  <pic:blipFill>
                    <a:blip r:embed="rId40"/>
                    <a:stretch>
                      <a:fillRect/>
                    </a:stretch>
                  </pic:blipFill>
                  <pic:spPr>
                    <a:xfrm>
                      <a:off x="0" y="0"/>
                      <a:ext cx="5261610" cy="290195"/>
                    </a:xfrm>
                    <a:prstGeom prst="rect">
                      <a:avLst/>
                    </a:prstGeom>
                    <a:noFill/>
                    <a:ln>
                      <a:noFill/>
                    </a:ln>
                  </pic:spPr>
                </pic:pic>
              </a:graphicData>
            </a:graphic>
          </wp:inline>
        </w:drawing>
      </w:r>
    </w:p>
    <w:p w14:paraId="7100008D">
      <w:pPr>
        <w:spacing w:before="120" w:after="120" w:line="288" w:lineRule="auto"/>
        <w:ind w:left="0" w:firstLine="0"/>
        <w:jc w:val="both"/>
        <w:rPr>
          <w:rFonts w:hint="eastAsia"/>
        </w:rPr>
      </w:pPr>
      <w:r>
        <w:rPr>
          <w:rFonts w:hint="eastAsia"/>
        </w:rPr>
        <w:t>2. 核心数据概览区</w:t>
      </w:r>
    </w:p>
    <w:p w14:paraId="5BB47896">
      <w:pPr>
        <w:spacing w:before="120" w:after="120" w:line="288" w:lineRule="auto"/>
        <w:ind w:left="0" w:firstLine="0"/>
        <w:jc w:val="both"/>
        <w:rPr>
          <w:rFonts w:hint="eastAsia"/>
        </w:rPr>
      </w:pPr>
      <w:r>
        <w:rPr>
          <w:rFonts w:hint="eastAsia"/>
        </w:rPr>
        <w:t>展示交易关键指标快照，快速掌握整体交易状态：</w:t>
      </w:r>
    </w:p>
    <w:p w14:paraId="12322DA1">
      <w:pPr>
        <w:spacing w:before="120" w:after="120" w:line="288" w:lineRule="auto"/>
        <w:ind w:left="0" w:firstLine="0"/>
        <w:jc w:val="both"/>
        <w:rPr>
          <w:rFonts w:hint="eastAsia"/>
        </w:rPr>
      </w:pPr>
      <w:r>
        <w:rPr>
          <w:rFonts w:hint="eastAsia"/>
        </w:rPr>
        <w:t>周期用电总量预测、已持仓电量、电量偏差（含偏差率）、实盘盈亏（买入盈亏 vs 卖出盈亏）。</w:t>
      </w:r>
    </w:p>
    <w:p w14:paraId="29BA0886">
      <w:pPr>
        <w:spacing w:before="120" w:after="120" w:line="288" w:lineRule="auto"/>
        <w:ind w:left="0" w:firstLine="0"/>
        <w:jc w:val="both"/>
        <w:rPr>
          <w:rFonts w:hint="eastAsia"/>
        </w:rPr>
      </w:pPr>
      <w:r>
        <w:drawing>
          <wp:inline distT="0" distB="0" distL="114300" distR="114300">
            <wp:extent cx="5261610" cy="588010"/>
            <wp:effectExtent l="0" t="0" r="15240" b="2540"/>
            <wp:docPr id="1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1"/>
                    <pic:cNvPicPr>
                      <a:picLocks noChangeAspect="1"/>
                    </pic:cNvPicPr>
                  </pic:nvPicPr>
                  <pic:blipFill>
                    <a:blip r:embed="rId41"/>
                    <a:stretch>
                      <a:fillRect/>
                    </a:stretch>
                  </pic:blipFill>
                  <pic:spPr>
                    <a:xfrm>
                      <a:off x="0" y="0"/>
                      <a:ext cx="5261610" cy="588010"/>
                    </a:xfrm>
                    <a:prstGeom prst="rect">
                      <a:avLst/>
                    </a:prstGeom>
                    <a:noFill/>
                    <a:ln>
                      <a:noFill/>
                    </a:ln>
                  </pic:spPr>
                </pic:pic>
              </a:graphicData>
            </a:graphic>
          </wp:inline>
        </w:drawing>
      </w:r>
    </w:p>
    <w:p w14:paraId="6699BFE7">
      <w:pPr>
        <w:spacing w:before="120" w:after="120" w:line="288" w:lineRule="auto"/>
        <w:ind w:left="0" w:firstLine="0"/>
        <w:jc w:val="both"/>
        <w:rPr>
          <w:rFonts w:hint="eastAsia"/>
        </w:rPr>
      </w:pPr>
      <w:r>
        <w:rPr>
          <w:rFonts w:hint="eastAsia"/>
        </w:rPr>
        <w:t>3. 趋势与监控图表区</w:t>
      </w:r>
    </w:p>
    <w:p w14:paraId="3A3DFE34">
      <w:pPr>
        <w:spacing w:before="120" w:after="120" w:line="288" w:lineRule="auto"/>
        <w:ind w:left="0" w:firstLine="0"/>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rPr>
        <w:t>持仓缺口趋势图：</w:t>
      </w:r>
    </w:p>
    <w:p w14:paraId="6EBF995F">
      <w:pPr>
        <w:spacing w:before="120" w:after="120" w:line="288" w:lineRule="auto"/>
        <w:ind w:left="0" w:firstLine="0"/>
        <w:jc w:val="both"/>
      </w:pPr>
      <w:r>
        <w:rPr>
          <w:rFonts w:hint="eastAsia"/>
        </w:rPr>
        <w:t>展示月度累计的实际用电量、预计用电量、年度持仓、月度持仓变化，直观呈现供需缺口的变化趋势，辅助判断补仓或减仓时机。</w:t>
      </w:r>
      <w:r>
        <w:drawing>
          <wp:inline distT="0" distB="0" distL="114300" distR="114300">
            <wp:extent cx="5271135" cy="3352165"/>
            <wp:effectExtent l="0" t="0" r="5715" b="635"/>
            <wp:docPr id="18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2"/>
                    <pic:cNvPicPr>
                      <a:picLocks noChangeAspect="1"/>
                    </pic:cNvPicPr>
                  </pic:nvPicPr>
                  <pic:blipFill>
                    <a:blip r:embed="rId42"/>
                    <a:stretch>
                      <a:fillRect/>
                    </a:stretch>
                  </pic:blipFill>
                  <pic:spPr>
                    <a:xfrm>
                      <a:off x="0" y="0"/>
                      <a:ext cx="5271135" cy="3352165"/>
                    </a:xfrm>
                    <a:prstGeom prst="rect">
                      <a:avLst/>
                    </a:prstGeom>
                    <a:noFill/>
                    <a:ln>
                      <a:noFill/>
                    </a:ln>
                  </pic:spPr>
                </pic:pic>
              </a:graphicData>
            </a:graphic>
          </wp:inline>
        </w:drawing>
      </w:r>
    </w:p>
    <w:p w14:paraId="4783789C">
      <w:pPr>
        <w:numPr>
          <w:ilvl w:val="0"/>
          <w:numId w:val="1"/>
        </w:numPr>
        <w:spacing w:before="120" w:after="120" w:line="288" w:lineRule="auto"/>
        <w:ind w:left="0" w:firstLine="0"/>
        <w:jc w:val="left"/>
        <w:rPr>
          <w:rFonts w:hint="eastAsia"/>
          <w:lang w:eastAsia="zh-CN"/>
        </w:rPr>
      </w:pPr>
      <w:r>
        <w:rPr>
          <w:rFonts w:hint="eastAsia"/>
        </w:rPr>
        <w:t>负荷预测（分时段）</w:t>
      </w:r>
      <w:r>
        <w:rPr>
          <w:rFonts w:hint="eastAsia"/>
          <w:lang w:eastAsia="zh-CN"/>
        </w:rPr>
        <w:t>：</w:t>
      </w:r>
      <w:r>
        <w:rPr>
          <w:rFonts w:hint="eastAsia"/>
          <w:lang w:eastAsia="zh-CN"/>
        </w:rPr>
        <w:br w:type="textWrapping"/>
      </w:r>
      <w:r>
        <w:rPr>
          <w:rFonts w:hint="eastAsia"/>
          <w:lang w:eastAsia="zh-CN"/>
        </w:rPr>
        <w:t>以柱状 + 折线组合图形式，展示日维度的实际用电量、预计用电量、年度持仓、月度持仓的分时段分布。</w:t>
      </w:r>
    </w:p>
    <w:p w14:paraId="16473248">
      <w:pPr>
        <w:spacing w:before="120" w:after="120" w:line="288" w:lineRule="auto"/>
        <w:ind w:left="0" w:firstLine="0"/>
        <w:jc w:val="left"/>
        <w:rPr>
          <w:rFonts w:hint="eastAsia" w:eastAsiaTheme="minorEastAsia"/>
          <w:lang w:eastAsia="zh-CN"/>
        </w:rPr>
      </w:pPr>
      <w:r>
        <w:rPr>
          <w:rFonts w:hint="eastAsia"/>
          <w:lang w:eastAsia="zh-CN"/>
        </w:rPr>
        <w:t>可直观查看每日不同时段的用电需求与持仓覆盖情况，识别供需缺口时段，为日内交易策略提供支撑；支持切换查看「日负荷走势」</w:t>
      </w:r>
      <w:r>
        <w:rPr>
          <w:rFonts w:hint="eastAsia"/>
          <w:lang w:val="en-US" w:eastAsia="zh-CN"/>
        </w:rPr>
        <w:t>和</w:t>
      </w:r>
      <w:r>
        <w:rPr>
          <w:rFonts w:hint="eastAsia"/>
          <w:lang w:eastAsia="zh-CN"/>
        </w:rPr>
        <w:t>「</w:t>
      </w:r>
      <w:r>
        <w:rPr>
          <w:rFonts w:hint="eastAsia"/>
          <w:lang w:val="en-US" w:eastAsia="zh-CN"/>
        </w:rPr>
        <w:t>各时段</w:t>
      </w:r>
      <w:r>
        <w:rPr>
          <w:rFonts w:hint="eastAsia"/>
          <w:lang w:eastAsia="zh-CN"/>
        </w:rPr>
        <w:t>负荷走势」细节。</w:t>
      </w:r>
    </w:p>
    <w:p w14:paraId="16A364A5">
      <w:pPr>
        <w:spacing w:before="120" w:after="120" w:line="288" w:lineRule="auto"/>
        <w:ind w:left="0" w:firstLine="0"/>
        <w:jc w:val="both"/>
        <w:rPr>
          <w:rFonts w:hint="eastAsia"/>
        </w:rPr>
      </w:pPr>
      <w:r>
        <w:drawing>
          <wp:inline distT="0" distB="0" distL="114300" distR="114300">
            <wp:extent cx="5271135" cy="3220720"/>
            <wp:effectExtent l="0" t="0" r="5715" b="17780"/>
            <wp:docPr id="1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3"/>
                    <pic:cNvPicPr>
                      <a:picLocks noChangeAspect="1"/>
                    </pic:cNvPicPr>
                  </pic:nvPicPr>
                  <pic:blipFill>
                    <a:blip r:embed="rId43"/>
                    <a:stretch>
                      <a:fillRect/>
                    </a:stretch>
                  </pic:blipFill>
                  <pic:spPr>
                    <a:xfrm>
                      <a:off x="0" y="0"/>
                      <a:ext cx="5271135" cy="3220720"/>
                    </a:xfrm>
                    <a:prstGeom prst="rect">
                      <a:avLst/>
                    </a:prstGeom>
                    <a:noFill/>
                    <a:ln>
                      <a:noFill/>
                    </a:ln>
                  </pic:spPr>
                </pic:pic>
              </a:graphicData>
            </a:graphic>
          </wp:inline>
        </w:drawing>
      </w:r>
    </w:p>
    <w:p w14:paraId="7A0C67C0">
      <w:pPr>
        <w:numPr>
          <w:ilvl w:val="0"/>
          <w:numId w:val="1"/>
        </w:numPr>
        <w:spacing w:before="120" w:after="120" w:line="288" w:lineRule="auto"/>
        <w:ind w:left="0" w:leftChars="0" w:firstLine="0" w:firstLineChars="0"/>
        <w:jc w:val="both"/>
        <w:rPr>
          <w:rFonts w:hint="eastAsia"/>
        </w:rPr>
      </w:pPr>
      <w:r>
        <w:rPr>
          <w:rFonts w:hint="eastAsia"/>
        </w:rPr>
        <w:t>（3）回收价差监控图：</w:t>
      </w:r>
    </w:p>
    <w:p w14:paraId="30AB6A43">
      <w:pPr>
        <w:numPr>
          <w:ilvl w:val="0"/>
          <w:numId w:val="0"/>
        </w:numPr>
        <w:spacing w:before="120" w:after="120" w:line="288" w:lineRule="auto"/>
        <w:ind w:leftChars="0"/>
        <w:jc w:val="both"/>
        <w:rPr>
          <w:rFonts w:hint="eastAsia"/>
        </w:rPr>
      </w:pPr>
      <w:r>
        <w:rPr>
          <w:rFonts w:hint="eastAsia"/>
        </w:rPr>
        <w:t>对比本月现货加权均价、每日现货加权均价、月度交易参考价，监控现货市场价格走势与价差变化，识别套利机会与风险。</w:t>
      </w:r>
    </w:p>
    <w:p w14:paraId="1DCE8DDB">
      <w:pPr>
        <w:spacing w:before="120" w:after="120" w:line="288" w:lineRule="auto"/>
        <w:ind w:left="0" w:firstLine="0"/>
        <w:jc w:val="both"/>
        <w:rPr>
          <w:rFonts w:hint="eastAsia"/>
        </w:rPr>
      </w:pPr>
      <w:r>
        <w:drawing>
          <wp:inline distT="0" distB="0" distL="114300" distR="114300">
            <wp:extent cx="5266690" cy="3150870"/>
            <wp:effectExtent l="0" t="0" r="10160" b="11430"/>
            <wp:docPr id="1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4"/>
                    <pic:cNvPicPr>
                      <a:picLocks noChangeAspect="1"/>
                    </pic:cNvPicPr>
                  </pic:nvPicPr>
                  <pic:blipFill>
                    <a:blip r:embed="rId44"/>
                    <a:stretch>
                      <a:fillRect/>
                    </a:stretch>
                  </pic:blipFill>
                  <pic:spPr>
                    <a:xfrm>
                      <a:off x="0" y="0"/>
                      <a:ext cx="5266690" cy="3150870"/>
                    </a:xfrm>
                    <a:prstGeom prst="rect">
                      <a:avLst/>
                    </a:prstGeom>
                    <a:noFill/>
                    <a:ln>
                      <a:noFill/>
                    </a:ln>
                  </pic:spPr>
                </pic:pic>
              </a:graphicData>
            </a:graphic>
          </wp:inline>
        </w:drawing>
      </w:r>
    </w:p>
    <w:p w14:paraId="7748C4E8">
      <w:pPr>
        <w:spacing w:before="120" w:after="120" w:line="288" w:lineRule="auto"/>
        <w:ind w:left="0" w:firstLine="0"/>
        <w:jc w:val="both"/>
        <w:rPr>
          <w:rFonts w:hint="eastAsia"/>
        </w:rPr>
      </w:pPr>
      <w:r>
        <w:rPr>
          <w:rFonts w:hint="eastAsia"/>
          <w:lang w:eastAsia="zh-CN"/>
        </w:rPr>
        <w:t>（</w:t>
      </w:r>
      <w:r>
        <w:rPr>
          <w:rFonts w:hint="eastAsia"/>
          <w:lang w:val="en-US" w:eastAsia="zh-CN"/>
        </w:rPr>
        <w:t>4</w:t>
      </w:r>
      <w:r>
        <w:rPr>
          <w:rFonts w:hint="eastAsia"/>
          <w:lang w:eastAsia="zh-CN"/>
        </w:rPr>
        <w:t>）</w:t>
      </w:r>
      <w:r>
        <w:rPr>
          <w:rFonts w:hint="eastAsia"/>
        </w:rPr>
        <w:t>每日滚撮成交情况图：以分时维度展示日前价格、日前价格预测、中位数价格走势，叠加市场成交量柱状图，帮助用户把握日内价格波动与成交热度。</w:t>
      </w:r>
    </w:p>
    <w:p w14:paraId="7193F017">
      <w:pPr>
        <w:spacing w:before="120" w:after="120" w:line="288" w:lineRule="auto"/>
        <w:ind w:left="0" w:firstLine="0"/>
        <w:jc w:val="both"/>
      </w:pPr>
      <w:r>
        <w:drawing>
          <wp:inline distT="0" distB="0" distL="114300" distR="114300">
            <wp:extent cx="5268595" cy="2103120"/>
            <wp:effectExtent l="0" t="0" r="8255" b="11430"/>
            <wp:docPr id="18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5"/>
                    <pic:cNvPicPr>
                      <a:picLocks noChangeAspect="1"/>
                    </pic:cNvPicPr>
                  </pic:nvPicPr>
                  <pic:blipFill>
                    <a:blip r:embed="rId45"/>
                    <a:stretch>
                      <a:fillRect/>
                    </a:stretch>
                  </pic:blipFill>
                  <pic:spPr>
                    <a:xfrm>
                      <a:off x="0" y="0"/>
                      <a:ext cx="5268595" cy="2103120"/>
                    </a:xfrm>
                    <a:prstGeom prst="rect">
                      <a:avLst/>
                    </a:prstGeom>
                    <a:noFill/>
                    <a:ln>
                      <a:noFill/>
                    </a:ln>
                  </pic:spPr>
                </pic:pic>
              </a:graphicData>
            </a:graphic>
          </wp:inline>
        </w:drawing>
      </w:r>
    </w:p>
    <w:p w14:paraId="47C31D7C">
      <w:pPr>
        <w:numPr>
          <w:ilvl w:val="0"/>
          <w:numId w:val="1"/>
        </w:numPr>
        <w:spacing w:before="120" w:after="120" w:line="288" w:lineRule="auto"/>
        <w:ind w:left="0" w:leftChars="0" w:firstLine="0" w:firstLineChars="0"/>
        <w:jc w:val="both"/>
        <w:rPr>
          <w:rFonts w:hint="eastAsia" w:ascii="宋体" w:hAnsi="宋体" w:eastAsia="宋体" w:cs="宋体"/>
          <w:sz w:val="24"/>
          <w:szCs w:val="24"/>
        </w:rPr>
      </w:pPr>
      <w:r>
        <w:rPr>
          <w:rFonts w:ascii="宋体" w:hAnsi="宋体" w:eastAsia="宋体" w:cs="宋体"/>
          <w:sz w:val="24"/>
          <w:szCs w:val="24"/>
        </w:rPr>
        <w:t>滚动撮合综合热力图</w:t>
      </w:r>
    </w:p>
    <w:p w14:paraId="6546ACC1">
      <w:pPr>
        <w:numPr>
          <w:ilvl w:val="0"/>
          <w:numId w:val="0"/>
        </w:numPr>
        <w:spacing w:before="120" w:after="120" w:line="288" w:lineRule="auto"/>
        <w:ind w:leftChars="0"/>
        <w:jc w:val="both"/>
        <w:rPr>
          <w:rFonts w:hint="eastAsia" w:ascii="宋体" w:hAnsi="宋体" w:eastAsia="宋体" w:cs="宋体"/>
          <w:sz w:val="24"/>
          <w:szCs w:val="24"/>
        </w:rPr>
      </w:pPr>
      <w:r>
        <w:rPr>
          <w:rFonts w:hint="eastAsia" w:ascii="宋体" w:hAnsi="宋体" w:eastAsia="宋体" w:cs="宋体"/>
          <w:sz w:val="24"/>
          <w:szCs w:val="24"/>
        </w:rPr>
        <w:t>默认阈值为0，可手动修改</w:t>
      </w:r>
    </w:p>
    <w:p w14:paraId="3FB06A3A">
      <w:pPr>
        <w:numPr>
          <w:ilvl w:val="0"/>
          <w:numId w:val="0"/>
        </w:numPr>
        <w:spacing w:before="120" w:after="120" w:line="288" w:lineRule="auto"/>
        <w:ind w:left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在此处分别展示八张热力图两个一排，默认展示效果如图点击放大全屏按钮可以全屏查看</w:t>
      </w:r>
    </w:p>
    <w:p w14:paraId="7E75E4B7">
      <w:pPr>
        <w:spacing w:before="120" w:after="120" w:line="288" w:lineRule="auto"/>
        <w:ind w:left="0" w:firstLine="0"/>
        <w:jc w:val="both"/>
        <w:rPr>
          <w:rFonts w:hint="eastAsia"/>
          <w:lang w:eastAsia="zh-CN"/>
        </w:rPr>
      </w:pPr>
    </w:p>
    <w:p w14:paraId="43C03B37">
      <w:pPr>
        <w:numPr>
          <w:ilvl w:val="0"/>
          <w:numId w:val="0"/>
        </w:numPr>
        <w:spacing w:before="120" w:after="120" w:line="288" w:lineRule="auto"/>
        <w:ind w:leftChars="0"/>
        <w:jc w:val="both"/>
        <w:rPr>
          <w:rFonts w:hint="eastAsia"/>
          <w:lang w:eastAsia="zh-CN"/>
        </w:rPr>
      </w:pPr>
      <w:r>
        <w:rPr>
          <w:rFonts w:hint="eastAsia"/>
          <w:lang w:eastAsia="zh-CN"/>
        </w:rPr>
        <w:t>预测价差热力图</w:t>
      </w:r>
      <w:r>
        <w:rPr>
          <w:rFonts w:hint="eastAsia"/>
          <w:lang w:eastAsia="zh-CN"/>
        </w:rPr>
        <w:tab/>
      </w:r>
      <w:r>
        <w:rPr>
          <w:rFonts w:hint="eastAsia"/>
          <w:lang w:eastAsia="zh-CN"/>
        </w:rPr>
        <w:t>分析预测价格与基准价格的价差分布，辅助判断报价空间</w:t>
      </w:r>
    </w:p>
    <w:p w14:paraId="7F81FE12">
      <w:pPr>
        <w:pStyle w:val="13"/>
        <w:keepNext w:val="0"/>
        <w:keepLines w:val="0"/>
        <w:widowControl/>
        <w:suppressLineNumbers w:val="0"/>
        <w:spacing w:before="0" w:beforeAutospacing="0" w:after="0" w:afterAutospacing="0"/>
        <w:ind w:left="0" w:right="0" w:firstLine="0"/>
        <w:jc w:val="left"/>
        <w:rPr>
          <w:rFonts w:hint="eastAsia" w:asciiTheme="minorHAnsi" w:hAnsiTheme="minorHAnsi" w:eastAsiaTheme="minorEastAsia" w:cstheme="minorBidi"/>
          <w:kern w:val="0"/>
          <w:sz w:val="21"/>
          <w:szCs w:val="22"/>
          <w:lang w:eastAsia="zh-CN"/>
        </w:rPr>
      </w:pPr>
      <w:r>
        <w:rPr>
          <w:rFonts w:hint="default" w:ascii="Arial" w:hAnsi="Arial" w:eastAsia="Arial" w:cs="Arial"/>
          <w:i w:val="0"/>
          <w:iCs w:val="0"/>
          <w:caps w:val="0"/>
          <w:color w:val="333333"/>
          <w:spacing w:val="0"/>
          <w:sz w:val="33"/>
          <w:szCs w:val="33"/>
        </w:rPr>
        <w:t> </w:t>
      </w:r>
      <w:r>
        <w:rPr>
          <w:rFonts w:hint="default" w:asciiTheme="minorHAnsi" w:hAnsiTheme="minorHAnsi" w:eastAsiaTheme="minorEastAsia" w:cstheme="minorBidi"/>
          <w:kern w:val="0"/>
          <w:sz w:val="21"/>
          <w:szCs w:val="22"/>
          <w:lang w:eastAsia="zh-CN"/>
        </w:rPr>
        <w:t>•  展示的数值为：预测日前均价-日滚撮中位数均价</w:t>
      </w:r>
    </w:p>
    <w:p w14:paraId="675F07CE">
      <w:pPr>
        <w:pStyle w:val="13"/>
        <w:keepNext w:val="0"/>
        <w:keepLines w:val="0"/>
        <w:widowControl/>
        <w:suppressLineNumbers w:val="0"/>
        <w:spacing w:before="0" w:beforeAutospacing="0" w:after="0" w:afterAutospacing="0"/>
        <w:ind w:left="0" w:right="0" w:firstLine="0"/>
        <w:jc w:val="left"/>
        <w:rPr>
          <w:rFonts w:hint="eastAsia"/>
          <w:lang w:eastAsia="zh-CN"/>
        </w:rPr>
      </w:pPr>
      <w:r>
        <w:rPr>
          <w:rFonts w:hint="default" w:asciiTheme="minorHAnsi" w:hAnsiTheme="minorHAnsi" w:eastAsiaTheme="minorEastAsia" w:cstheme="minorBidi"/>
          <w:kern w:val="0"/>
          <w:sz w:val="21"/>
          <w:szCs w:val="22"/>
          <w:lang w:eastAsia="zh-CN"/>
        </w:rPr>
        <w:t>    •  如果价差小于阈值，则绘制边框</w:t>
      </w:r>
    </w:p>
    <w:p w14:paraId="7C7C4A10">
      <w:pPr>
        <w:spacing w:before="120" w:after="120" w:line="288" w:lineRule="auto"/>
        <w:ind w:left="0" w:firstLine="0"/>
        <w:jc w:val="both"/>
        <w:rPr>
          <w:rFonts w:hint="eastAsia"/>
          <w:lang w:eastAsia="zh-CN"/>
        </w:rPr>
      </w:pPr>
      <w:r>
        <w:rPr>
          <w:rFonts w:hint="eastAsia"/>
          <w:lang w:eastAsia="zh-CN"/>
        </w:rPr>
        <w:t>实际交易电量 (电价) 热力图</w:t>
      </w:r>
      <w:r>
        <w:rPr>
          <w:rFonts w:hint="eastAsia"/>
          <w:lang w:eastAsia="zh-CN"/>
        </w:rPr>
        <w:tab/>
      </w:r>
      <w:r>
        <w:rPr>
          <w:rFonts w:hint="eastAsia"/>
          <w:lang w:eastAsia="zh-CN"/>
        </w:rPr>
        <w:t>查看实际交易的电量与电价分布，掌握成交热点时段</w:t>
      </w:r>
    </w:p>
    <w:p w14:paraId="302D0467">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以滚撮持仓电量绘制热力图，括号内的数字为</w:t>
      </w:r>
      <w:r>
        <w:rPr>
          <w:rFonts w:ascii="Segoe UI" w:hAnsi="Segoe UI" w:eastAsia="Segoe UI" w:cs="Segoe UI"/>
          <w:i w:val="0"/>
          <w:iCs w:val="0"/>
          <w:caps w:val="0"/>
          <w:color w:val="282E3D"/>
          <w:spacing w:val="0"/>
          <w:sz w:val="21"/>
          <w:szCs w:val="21"/>
          <w:shd w:val="clear" w:fill="FFFFFF"/>
        </w:rPr>
        <w:t>电价的均值</w:t>
      </w:r>
    </w:p>
    <w:p w14:paraId="6A297CE3">
      <w:pPr>
        <w:spacing w:before="120" w:after="120" w:line="288" w:lineRule="auto"/>
        <w:ind w:left="0" w:firstLine="0"/>
        <w:jc w:val="both"/>
        <w:rPr>
          <w:rFonts w:hint="eastAsia"/>
          <w:lang w:eastAsia="zh-CN"/>
        </w:rPr>
      </w:pPr>
      <w:r>
        <w:rPr>
          <w:rFonts w:hint="eastAsia"/>
          <w:b/>
          <w:bCs/>
          <w:lang w:eastAsia="zh-CN"/>
        </w:rPr>
        <w:t>实际市场价差热力图</w:t>
      </w:r>
      <w:r>
        <w:rPr>
          <w:rFonts w:hint="eastAsia"/>
          <w:lang w:eastAsia="zh-CN"/>
        </w:rPr>
        <w:tab/>
      </w:r>
      <w:r>
        <w:rPr>
          <w:rFonts w:hint="eastAsia"/>
          <w:lang w:eastAsia="zh-CN"/>
        </w:rPr>
        <w:t>对比市场价格与基准价格的价差，识别价格偏离情况</w:t>
      </w:r>
    </w:p>
    <w:p w14:paraId="1CC51882">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展示的数值为：日滚撮中位数价格的平均值-实际日前价格</w:t>
      </w:r>
    </w:p>
    <w:p w14:paraId="705C6015">
      <w:pPr>
        <w:spacing w:before="120" w:after="120" w:line="288" w:lineRule="auto"/>
        <w:ind w:left="0" w:firstLine="0"/>
        <w:jc w:val="both"/>
        <w:rPr>
          <w:rFonts w:hint="eastAsia"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如果价差小于阈值，则绘制边框</w:t>
      </w:r>
    </w:p>
    <w:p w14:paraId="039D543B">
      <w:pPr>
        <w:spacing w:before="120" w:after="120" w:line="288" w:lineRule="auto"/>
        <w:ind w:left="0" w:firstLine="0"/>
        <w:jc w:val="both"/>
        <w:rPr>
          <w:rFonts w:hint="eastAsia"/>
          <w:lang w:eastAsia="zh-CN"/>
        </w:rPr>
      </w:pPr>
      <w:r>
        <w:rPr>
          <w:rFonts w:hint="eastAsia"/>
          <w:b/>
          <w:bCs/>
          <w:lang w:eastAsia="zh-CN"/>
        </w:rPr>
        <w:t>实际交易价差热力图</w:t>
      </w:r>
      <w:r>
        <w:rPr>
          <w:rFonts w:hint="eastAsia"/>
          <w:lang w:eastAsia="zh-CN"/>
        </w:rPr>
        <w:tab/>
      </w:r>
      <w:r>
        <w:rPr>
          <w:rFonts w:hint="eastAsia"/>
          <w:lang w:eastAsia="zh-CN"/>
        </w:rPr>
        <w:t>分析实际交易价格与日前价格的价差，评估交易策略效果</w:t>
      </w:r>
    </w:p>
    <w:p w14:paraId="7B9B768A">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数值为实际滚撮持仓购电价格与日前价格的价差</w:t>
      </w:r>
    </w:p>
    <w:p w14:paraId="45FC20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括号内的数据为：</w:t>
      </w:r>
      <w:r>
        <w:rPr>
          <w:rFonts w:ascii="Segoe UI" w:hAnsi="Segoe UI" w:eastAsia="Segoe UI" w:cs="Segoe UI"/>
          <w:i w:val="0"/>
          <w:iCs w:val="0"/>
          <w:caps w:val="0"/>
          <w:color w:val="282E3D"/>
          <w:spacing w:val="0"/>
          <w:sz w:val="21"/>
          <w:szCs w:val="21"/>
          <w:shd w:val="clear" w:fill="FFFFFF"/>
        </w:rPr>
        <w:t>日滚撮中位数均价-交易价格</w:t>
      </w:r>
      <w:r>
        <w:rPr>
          <w:rFonts w:ascii="Arial" w:hAnsi="Arial" w:eastAsia="Arial" w:cs="Arial"/>
          <w:i w:val="0"/>
          <w:iCs w:val="0"/>
          <w:caps w:val="0"/>
          <w:color w:val="333333"/>
          <w:spacing w:val="0"/>
          <w:sz w:val="33"/>
          <w:szCs w:val="33"/>
        </w:rPr>
        <w:br w:type="textWrapping"/>
      </w:r>
      <w:r>
        <w:rPr>
          <w:rFonts w:hint="eastAsia"/>
          <w:b/>
          <w:bCs/>
          <w:lang w:eastAsia="zh-CN"/>
        </w:rPr>
        <w:t>日滚动撮合市场成交电量热力图</w:t>
      </w:r>
      <w:r>
        <w:rPr>
          <w:rFonts w:hint="eastAsia"/>
          <w:lang w:eastAsia="zh-CN"/>
        </w:rPr>
        <w:tab/>
      </w:r>
      <w:r>
        <w:rPr>
          <w:rFonts w:hint="eastAsia"/>
          <w:lang w:eastAsia="zh-CN"/>
        </w:rPr>
        <w:t>查看市场整体成交电量分布，判断市场活跃度</w:t>
      </w:r>
    </w:p>
    <w:p w14:paraId="5944F9FE">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数值为日滚动撮合市场成交电量(MWh)</w:t>
      </w:r>
    </w:p>
    <w:p w14:paraId="13A4E26C">
      <w:pPr>
        <w:spacing w:before="120" w:after="120" w:line="288" w:lineRule="auto"/>
        <w:ind w:left="0" w:firstLine="0"/>
        <w:jc w:val="both"/>
        <w:rPr>
          <w:rFonts w:hint="eastAsia"/>
          <w:lang w:eastAsia="zh-CN"/>
        </w:rPr>
      </w:pPr>
      <w:r>
        <w:rPr>
          <w:rFonts w:hint="eastAsia"/>
          <w:b/>
          <w:bCs/>
          <w:lang w:eastAsia="zh-CN"/>
        </w:rPr>
        <w:t>实际交易盈亏热力图</w:t>
      </w:r>
      <w:r>
        <w:rPr>
          <w:rFonts w:hint="eastAsia"/>
          <w:lang w:eastAsia="zh-CN"/>
        </w:rPr>
        <w:tab/>
      </w:r>
      <w:r>
        <w:rPr>
          <w:rFonts w:hint="eastAsia"/>
          <w:lang w:eastAsia="zh-CN"/>
        </w:rPr>
        <w:t>直观呈现不同时段的交易盈亏情况，定位高收益与高风险时段</w:t>
      </w:r>
    </w:p>
    <w:p w14:paraId="1F23C4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交易量x(日前价格-滚撮价格+价差阈值)</w:t>
      </w:r>
    </w:p>
    <w:p w14:paraId="6D5D1F86">
      <w:pPr>
        <w:spacing w:before="120" w:after="120" w:line="288" w:lineRule="auto"/>
        <w:ind w:left="0" w:firstLine="0"/>
        <w:jc w:val="both"/>
        <w:rPr>
          <w:rFonts w:hint="eastAsia"/>
          <w:lang w:eastAsia="zh-CN"/>
        </w:rPr>
      </w:pPr>
      <w:r>
        <w:rPr>
          <w:rFonts w:hint="eastAsia"/>
          <w:lang w:eastAsia="zh-CN"/>
        </w:rPr>
        <w:t>日滚动撮合中位数均价热力图</w:t>
      </w:r>
      <w:r>
        <w:rPr>
          <w:rFonts w:hint="eastAsia"/>
          <w:lang w:eastAsia="zh-CN"/>
        </w:rPr>
        <w:tab/>
      </w:r>
      <w:r>
        <w:rPr>
          <w:rFonts w:hint="eastAsia"/>
          <w:lang w:eastAsia="zh-CN"/>
        </w:rPr>
        <w:t>展示市场成交均价的分布，把握整体价格水平</w:t>
      </w:r>
    </w:p>
    <w:p w14:paraId="61715855">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数值为日滚撮中位数价格的平均值</w:t>
      </w:r>
    </w:p>
    <w:p w14:paraId="7B318471">
      <w:pPr>
        <w:spacing w:before="120" w:after="120" w:line="288" w:lineRule="auto"/>
        <w:ind w:left="0" w:firstLine="0"/>
        <w:jc w:val="both"/>
        <w:rPr>
          <w:rFonts w:hint="eastAsia"/>
          <w:lang w:eastAsia="zh-CN"/>
        </w:rPr>
      </w:pPr>
      <w:r>
        <w:rPr>
          <w:rFonts w:hint="eastAsia"/>
          <w:b/>
          <w:bCs/>
          <w:lang w:eastAsia="zh-CN"/>
        </w:rPr>
        <w:t>实际日前价格热力图</w:t>
      </w:r>
      <w:r>
        <w:rPr>
          <w:rFonts w:hint="eastAsia"/>
          <w:lang w:eastAsia="zh-CN"/>
        </w:rPr>
        <w:tab/>
      </w:r>
      <w:r>
        <w:rPr>
          <w:rFonts w:hint="eastAsia"/>
          <w:lang w:eastAsia="zh-CN"/>
        </w:rPr>
        <w:t>呈现日前市场实际价格的分布，掌握价格波动规律</w:t>
      </w:r>
    </w:p>
    <w:p w14:paraId="73BC6AC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数值为实际日前价格</w:t>
      </w:r>
    </w:p>
    <w:p w14:paraId="468ED196">
      <w:pPr>
        <w:spacing w:before="120" w:after="120" w:line="288" w:lineRule="auto"/>
        <w:ind w:left="0" w:firstLine="0"/>
        <w:jc w:val="both"/>
        <w:rPr>
          <w:rFonts w:hint="eastAsia"/>
          <w:lang w:eastAsia="zh-CN"/>
        </w:rPr>
      </w:pPr>
      <w:r>
        <w:rPr>
          <w:rFonts w:hint="eastAsia"/>
          <w:b/>
          <w:bCs/>
          <w:lang w:eastAsia="zh-CN"/>
        </w:rPr>
        <w:t>日前价格预测热力图</w:t>
      </w:r>
      <w:r>
        <w:rPr>
          <w:rFonts w:hint="eastAsia"/>
          <w:lang w:eastAsia="zh-CN"/>
        </w:rPr>
        <w:t>展示日前价格预测结果的分布，辅助预判未来价格走势；</w:t>
      </w:r>
    </w:p>
    <w:p w14:paraId="728BE243">
      <w:pPr>
        <w:spacing w:before="120" w:after="120" w:line="288" w:lineRule="auto"/>
        <w:ind w:left="0" w:firstLine="0"/>
        <w:jc w:val="both"/>
        <w:rPr>
          <w:rFonts w:ascii="Segoe UI" w:hAnsi="Segoe UI" w:eastAsia="Segoe UI" w:cs="Segoe UI"/>
          <w:i w:val="0"/>
          <w:iCs w:val="0"/>
          <w:caps w:val="0"/>
          <w:color w:val="282E3D"/>
          <w:spacing w:val="0"/>
          <w:sz w:val="21"/>
          <w:szCs w:val="21"/>
          <w:shd w:val="clear" w:fill="FFFFFF"/>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预测日前价格(D+2~D+4)的均值，括号的数值为预测的最大值-最小值体现波动性</w:t>
      </w:r>
    </w:p>
    <w:p w14:paraId="07EF711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hint="eastAsia" w:ascii="Segoe UI" w:hAnsi="Segoe UI" w:eastAsia="Segoe UI" w:cs="Segoe UI"/>
          <w:i w:val="0"/>
          <w:iCs w:val="0"/>
          <w:caps w:val="0"/>
          <w:color w:val="282E3D"/>
          <w:spacing w:val="0"/>
          <w:sz w:val="21"/>
          <w:szCs w:val="21"/>
          <w:shd w:val="clear" w:fill="FFFFFF"/>
          <w:lang w:eastAsia="zh-CN"/>
        </w:rPr>
        <w:t>下限为二百，上限为四百，如果达到上下限则颜色不会继续加深 （但是里面的数字需要正常做标注</w:t>
      </w:r>
    </w:p>
    <w:p w14:paraId="0C3ED111">
      <w:pPr>
        <w:spacing w:before="120" w:after="120" w:line="288" w:lineRule="auto"/>
        <w:ind w:left="0" w:firstLine="0"/>
        <w:jc w:val="both"/>
        <w:rPr>
          <w:rFonts w:hint="default" w:ascii="Segoe UI" w:hAnsi="Segoe UI" w:eastAsia="Segoe UI" w:cs="Segoe UI"/>
          <w:i w:val="0"/>
          <w:iCs w:val="0"/>
          <w:caps w:val="0"/>
          <w:color w:val="282E3D"/>
          <w:spacing w:val="0"/>
          <w:sz w:val="21"/>
          <w:szCs w:val="21"/>
          <w:shd w:val="clear" w:fill="FFFFFF"/>
          <w:lang w:val="en-US" w:eastAsia="zh-CN"/>
        </w:rPr>
      </w:pPr>
      <w:r>
        <w:rPr>
          <w:rFonts w:hint="eastAsia"/>
          <w:b/>
          <w:bCs/>
          <w:lang w:val="en-US" w:eastAsia="zh-CN"/>
        </w:rPr>
        <w:t xml:space="preserve">日前价格预测偏差热力图 </w:t>
      </w:r>
      <w:r>
        <w:rPr>
          <w:rFonts w:hint="eastAsia"/>
          <w:lang w:val="en-US" w:eastAsia="zh-CN"/>
        </w:rPr>
        <w:t>点击</w:t>
      </w:r>
      <w:r>
        <w:rPr>
          <w:rFonts w:hint="eastAsia"/>
          <w:lang w:eastAsia="zh-CN"/>
        </w:rPr>
        <w:t>日前价格预测热力图</w:t>
      </w:r>
      <w:r>
        <w:rPr>
          <w:rFonts w:hint="eastAsia"/>
          <w:lang w:val="en-US" w:eastAsia="zh-CN"/>
        </w:rPr>
        <w:t>右下角的“查看偏差”，展示日前价格预测偏差热力图</w:t>
      </w:r>
    </w:p>
    <w:p w14:paraId="5BD0FAE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数值为：预测日前价格(D+2~D+4)均值 - 实际日前价格</w:t>
      </w:r>
    </w:p>
    <w:p w14:paraId="532F3942">
      <w:pPr>
        <w:spacing w:before="120" w:after="120" w:line="288" w:lineRule="auto"/>
        <w:ind w:left="0" w:firstLine="0"/>
        <w:jc w:val="both"/>
        <w:rPr>
          <w:rFonts w:hint="eastAsia"/>
          <w:lang w:eastAsia="zh-CN"/>
        </w:rPr>
      </w:pPr>
      <w:r>
        <w:rPr>
          <w:rFonts w:hint="eastAsia"/>
          <w:b/>
          <w:bCs/>
          <w:lang w:eastAsia="zh-CN"/>
        </w:rPr>
        <w:t>竞价空间热力图</w:t>
      </w:r>
      <w:r>
        <w:rPr>
          <w:rFonts w:hint="eastAsia"/>
          <w:b/>
          <w:bCs/>
          <w:lang w:eastAsia="zh-CN"/>
        </w:rPr>
        <w:tab/>
      </w:r>
      <w:r>
        <w:rPr>
          <w:rFonts w:hint="eastAsia"/>
          <w:lang w:eastAsia="zh-CN"/>
        </w:rPr>
        <w:t>呈现竞价空间的分布，为报价策略提供参考</w:t>
      </w:r>
    </w:p>
    <w:p w14:paraId="42E50C0A">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数值为竞价空间功率（GW），虚线框内为预测数据</w:t>
      </w:r>
    </w:p>
    <w:p w14:paraId="4C7213B7">
      <w:pPr>
        <w:spacing w:before="300" w:after="120" w:line="288" w:lineRule="auto"/>
        <w:ind w:left="0"/>
        <w:jc w:val="left"/>
        <w:outlineLvl w:val="2"/>
        <w:rPr>
          <w:rFonts w:ascii="Arial" w:hAnsi="Arial" w:eastAsia="等线" w:cs="Arial"/>
          <w:b/>
          <w:sz w:val="30"/>
        </w:rPr>
      </w:pPr>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4</w:t>
      </w:r>
      <w:r>
        <w:rPr>
          <w:rFonts w:ascii="Arial" w:hAnsi="Arial" w:eastAsia="等线" w:cs="Arial"/>
          <w:b/>
          <w:sz w:val="30"/>
          <w:szCs w:val="30"/>
        </w:rPr>
        <w:t>现货交易策略</w:t>
      </w:r>
    </w:p>
    <w:p w14:paraId="3B6F420E">
      <w:pPr>
        <w:spacing w:before="240" w:after="80" w:line="288" w:lineRule="auto"/>
        <w:outlineLvl w:val="3"/>
      </w:pPr>
      <w:r>
        <w:rPr>
          <w:rFonts w:ascii="Arial" w:hAnsi="Arial" w:eastAsia="等线" w:cs="Arial"/>
          <w:b/>
          <w:sz w:val="26"/>
          <w:szCs w:val="26"/>
        </w:rPr>
        <w:t>模块简介</w:t>
      </w:r>
    </w:p>
    <w:p w14:paraId="6B676995">
      <w:pPr>
        <w:spacing w:before="120" w:after="120" w:line="288" w:lineRule="auto"/>
        <w:ind w:left="0" w:firstLine="0"/>
        <w:jc w:val="left"/>
        <w:rPr>
          <w:rFonts w:ascii="Arial" w:hAnsi="Arial" w:eastAsia="等线" w:cs="Arial"/>
          <w:sz w:val="22"/>
        </w:rPr>
      </w:pPr>
      <w:r>
        <w:rPr>
          <w:rFonts w:ascii="Arial" w:hAnsi="Arial" w:eastAsia="等线" w:cs="Arial"/>
          <w:sz w:val="22"/>
        </w:rPr>
        <w:t>本模块是电力交易业务的现货交易决策支撑工具，整合了申报建议、负荷走势、价格热力图、价差分析与气象热力图等多维度数据，帮助用户快速获取现货交易的申报参考，同时通过多维度分析评估交易风险与机会，为现货市场的报价决策提供精细化支撑。</w:t>
      </w:r>
    </w:p>
    <w:p w14:paraId="5603BBE3">
      <w:pPr>
        <w:spacing w:before="120" w:after="120" w:line="288" w:lineRule="auto"/>
        <w:ind w:left="0" w:firstLine="0"/>
        <w:jc w:val="both"/>
        <w:rPr>
          <w:rFonts w:ascii="Arial" w:hAnsi="Arial" w:eastAsia="等线" w:cs="Arial"/>
          <w:sz w:val="22"/>
        </w:rPr>
      </w:pPr>
      <w:r>
        <w:rPr>
          <w:rFonts w:ascii="Arial" w:hAnsi="Arial" w:eastAsia="等线" w:cs="Arial"/>
          <w:sz w:val="22"/>
        </w:rPr>
        <w:t>1. 顶部查询与操作区</w:t>
      </w:r>
    </w:p>
    <w:p w14:paraId="2DD4B1B1">
      <w:pPr>
        <w:spacing w:before="240" w:after="80" w:line="288" w:lineRule="auto"/>
        <w:outlineLvl w:val="3"/>
      </w:pPr>
      <w:r>
        <w:rPr>
          <w:rFonts w:ascii="Arial" w:hAnsi="Arial" w:eastAsia="等线" w:cs="Arial"/>
          <w:b/>
          <w:sz w:val="26"/>
          <w:szCs w:val="26"/>
        </w:rPr>
        <w:t>操作说明</w:t>
      </w:r>
    </w:p>
    <w:p w14:paraId="622621A3">
      <w:pPr>
        <w:spacing w:before="120" w:after="120" w:line="288" w:lineRule="auto"/>
        <w:ind w:left="0" w:firstLine="0"/>
        <w:jc w:val="both"/>
        <w:rPr>
          <w:rFonts w:ascii="Arial" w:hAnsi="Arial" w:eastAsia="等线" w:cs="Arial"/>
          <w:sz w:val="22"/>
        </w:rPr>
      </w:pPr>
      <w:r>
        <w:rPr>
          <w:rFonts w:ascii="Arial" w:hAnsi="Arial" w:eastAsia="等线" w:cs="Arial"/>
          <w:sz w:val="22"/>
        </w:rPr>
        <w:t>日期选择：可自定义分析的目标日期（如示例中的 2026-05-08），确定现货交易策略分析的时间范围。</w:t>
      </w:r>
    </w:p>
    <w:p w14:paraId="63031C6B">
      <w:pPr>
        <w:spacing w:before="120" w:after="120" w:line="288" w:lineRule="auto"/>
        <w:ind w:left="0" w:firstLine="0"/>
        <w:jc w:val="both"/>
        <w:rPr>
          <w:rFonts w:ascii="Arial" w:hAnsi="Arial" w:eastAsia="等线" w:cs="Arial"/>
          <w:sz w:val="22"/>
        </w:rPr>
      </w:pPr>
      <w:r>
        <w:rPr>
          <w:rFonts w:ascii="Arial" w:hAnsi="Arial" w:eastAsia="等线" w:cs="Arial"/>
          <w:sz w:val="22"/>
        </w:rPr>
        <w:t>「重置」按钮：点击后清空当前设置的日期条件，恢复到系统默认状态，便于重新设置查询条件。</w:t>
      </w:r>
    </w:p>
    <w:p w14:paraId="63729877">
      <w:pPr>
        <w:spacing w:before="120" w:after="120" w:line="288" w:lineRule="auto"/>
        <w:ind w:left="0" w:firstLine="0"/>
        <w:jc w:val="both"/>
        <w:rPr>
          <w:rFonts w:ascii="Arial" w:hAnsi="Arial" w:eastAsia="等线" w:cs="Arial"/>
          <w:sz w:val="22"/>
        </w:rPr>
      </w:pPr>
      <w:r>
        <w:rPr>
          <w:rFonts w:ascii="Arial" w:hAnsi="Arial" w:eastAsia="等线" w:cs="Arial"/>
          <w:sz w:val="22"/>
        </w:rPr>
        <w:t>「查询」按钮：日期设置完成后，点击该按钮加载并展示对应日期的现货交易策略数据。</w:t>
      </w:r>
    </w:p>
    <w:p w14:paraId="1D0F29C5">
      <w:pPr>
        <w:spacing w:before="120" w:after="120" w:line="288" w:lineRule="auto"/>
        <w:ind w:left="0" w:firstLine="0"/>
        <w:jc w:val="both"/>
        <w:rPr>
          <w:rFonts w:ascii="Arial" w:hAnsi="Arial" w:eastAsia="等线" w:cs="Arial"/>
          <w:sz w:val="22"/>
        </w:rPr>
      </w:pPr>
      <w:r>
        <w:rPr>
          <w:rFonts w:ascii="Arial" w:hAnsi="Arial" w:eastAsia="等线" w:cs="Arial"/>
          <w:sz w:val="22"/>
        </w:rPr>
        <w:t>「导出」按钮：可将当前页面的</w:t>
      </w:r>
      <w:r>
        <w:rPr>
          <w:rFonts w:ascii="Segoe UI" w:hAnsi="Segoe UI" w:eastAsia="Segoe UI" w:cs="Segoe UI"/>
          <w:b/>
          <w:bCs/>
          <w:i w:val="0"/>
          <w:iCs w:val="0"/>
          <w:caps w:val="0"/>
          <w:spacing w:val="0"/>
          <w:sz w:val="24"/>
          <w:szCs w:val="24"/>
          <w:shd w:val="clear" w:fill="FFFFFF"/>
        </w:rPr>
        <w:t>申报建议</w:t>
      </w:r>
      <w:r>
        <w:rPr>
          <w:rFonts w:ascii="Arial" w:hAnsi="Arial" w:eastAsia="等线" w:cs="Arial"/>
          <w:sz w:val="22"/>
        </w:rPr>
        <w:t>导出为文件，用于本地存档与进一步复盘分析。</w:t>
      </w:r>
    </w:p>
    <w:p w14:paraId="1CACF1DE">
      <w:pPr>
        <w:spacing w:before="120" w:after="120" w:line="288" w:lineRule="auto"/>
        <w:ind w:left="0" w:firstLine="0"/>
        <w:jc w:val="both"/>
      </w:pPr>
      <w:r>
        <w:drawing>
          <wp:inline distT="0" distB="0" distL="114300" distR="114300">
            <wp:extent cx="5270500" cy="228600"/>
            <wp:effectExtent l="0" t="0" r="6350" b="0"/>
            <wp:docPr id="1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6"/>
                    <pic:cNvPicPr>
                      <a:picLocks noChangeAspect="1"/>
                    </pic:cNvPicPr>
                  </pic:nvPicPr>
                  <pic:blipFill>
                    <a:blip r:embed="rId46"/>
                    <a:stretch>
                      <a:fillRect/>
                    </a:stretch>
                  </pic:blipFill>
                  <pic:spPr>
                    <a:xfrm>
                      <a:off x="0" y="0"/>
                      <a:ext cx="5270500" cy="228600"/>
                    </a:xfrm>
                    <a:prstGeom prst="rect">
                      <a:avLst/>
                    </a:prstGeom>
                    <a:noFill/>
                    <a:ln>
                      <a:noFill/>
                    </a:ln>
                  </pic:spPr>
                </pic:pic>
              </a:graphicData>
            </a:graphic>
          </wp:inline>
        </w:drawing>
      </w:r>
    </w:p>
    <w:p w14:paraId="16EDDA9D">
      <w:pPr>
        <w:spacing w:before="120" w:after="120" w:line="288" w:lineRule="auto"/>
        <w:ind w:left="0" w:firstLine="0"/>
        <w:jc w:val="both"/>
        <w:rPr>
          <w:rFonts w:hint="eastAsia"/>
          <w:lang w:val="en-US" w:eastAsia="zh-CN"/>
        </w:rPr>
      </w:pPr>
      <w:r>
        <w:rPr>
          <w:rFonts w:hint="eastAsia"/>
          <w:lang w:val="en-US" w:eastAsia="zh-CN"/>
        </w:rPr>
        <w:t>注意：</w:t>
      </w:r>
    </w:p>
    <w:p w14:paraId="39F1F2DA">
      <w:pPr>
        <w:spacing w:before="120" w:after="120" w:line="288" w:lineRule="auto"/>
        <w:ind w:left="0" w:firstLine="0"/>
        <w:jc w:val="both"/>
        <w:rPr>
          <w:rFonts w:ascii="Arial" w:hAnsi="Arial" w:eastAsia="等线" w:cs="Arial"/>
          <w:sz w:val="22"/>
        </w:rPr>
      </w:pPr>
      <w:r>
        <w:rPr>
          <w:rFonts w:ascii="Arial" w:hAnsi="Arial" w:eastAsia="等线" w:cs="Arial"/>
          <w:sz w:val="22"/>
        </w:rPr>
        <w:t>「</w:t>
      </w:r>
      <w:r>
        <w:rPr>
          <w:rFonts w:ascii="Segoe UI" w:hAnsi="Segoe UI" w:eastAsia="Segoe UI" w:cs="Segoe UI"/>
          <w:b/>
          <w:bCs/>
          <w:i w:val="0"/>
          <w:iCs w:val="0"/>
          <w:caps w:val="0"/>
          <w:spacing w:val="0"/>
          <w:sz w:val="24"/>
          <w:szCs w:val="24"/>
          <w:shd w:val="clear" w:fill="FFFFFF"/>
        </w:rPr>
        <w:t>风险偏好设置</w:t>
      </w:r>
      <w:r>
        <w:rPr>
          <w:rFonts w:ascii="Arial" w:hAnsi="Arial" w:eastAsia="等线" w:cs="Arial"/>
          <w:sz w:val="22"/>
        </w:rPr>
        <w:t>」</w:t>
      </w:r>
    </w:p>
    <w:p w14:paraId="09C45AA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可根据左下角的风险偏好设置，设置不同的偏好，</w:t>
      </w:r>
      <w:r>
        <w:rPr>
          <w:rFonts w:ascii="Segoe UI" w:hAnsi="Segoe UI" w:eastAsia="Segoe UI" w:cs="Segoe UI"/>
          <w:i w:val="0"/>
          <w:iCs w:val="0"/>
          <w:caps w:val="0"/>
          <w:color w:val="666666"/>
          <w:spacing w:val="0"/>
          <w:sz w:val="21"/>
          <w:szCs w:val="21"/>
          <w:shd w:val="clear" w:fill="FFFFFF"/>
        </w:rPr>
        <w:t>基于您的策略偏好配置</w:t>
      </w:r>
      <w:r>
        <w:rPr>
          <w:rFonts w:hint="eastAsia" w:ascii="Arial" w:hAnsi="Arial" w:eastAsia="等线" w:cs="Arial"/>
          <w:sz w:val="22"/>
          <w:lang w:val="en-US" w:eastAsia="zh-CN"/>
        </w:rPr>
        <w:t>生成相应的申报建议</w:t>
      </w:r>
    </w:p>
    <w:p w14:paraId="5156A5D8">
      <w:pPr>
        <w:spacing w:before="120" w:after="120" w:line="288" w:lineRule="auto"/>
        <w:ind w:left="0" w:firstLine="0"/>
        <w:jc w:val="both"/>
        <w:rPr>
          <w:rFonts w:hint="default" w:ascii="Arial" w:hAnsi="Arial" w:eastAsia="等线" w:cs="Arial"/>
          <w:sz w:val="22"/>
          <w:lang w:val="en-US" w:eastAsia="zh-CN"/>
        </w:rPr>
      </w:pPr>
      <w:r>
        <w:drawing>
          <wp:inline distT="0" distB="0" distL="114300" distR="114300">
            <wp:extent cx="5266690" cy="3208655"/>
            <wp:effectExtent l="0" t="0" r="10160" b="10795"/>
            <wp:docPr id="2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
                    <pic:cNvPicPr>
                      <a:picLocks noChangeAspect="1"/>
                    </pic:cNvPicPr>
                  </pic:nvPicPr>
                  <pic:blipFill>
                    <a:blip r:embed="rId47"/>
                    <a:stretch>
                      <a:fillRect/>
                    </a:stretch>
                  </pic:blipFill>
                  <pic:spPr>
                    <a:xfrm>
                      <a:off x="0" y="0"/>
                      <a:ext cx="5266690" cy="3208655"/>
                    </a:xfrm>
                    <a:prstGeom prst="rect">
                      <a:avLst/>
                    </a:prstGeom>
                    <a:noFill/>
                    <a:ln>
                      <a:noFill/>
                    </a:ln>
                  </pic:spPr>
                </pic:pic>
              </a:graphicData>
            </a:graphic>
          </wp:inline>
        </w:drawing>
      </w:r>
    </w:p>
    <w:p w14:paraId="520884C3">
      <w:pPr>
        <w:spacing w:before="120" w:after="120" w:line="288" w:lineRule="auto"/>
        <w:ind w:left="0" w:firstLine="0"/>
        <w:jc w:val="both"/>
        <w:rPr>
          <w:rFonts w:hint="eastAsia"/>
          <w:lang w:val="en-US" w:eastAsia="zh-CN"/>
        </w:rPr>
      </w:pPr>
      <w:r>
        <w:rPr>
          <w:rFonts w:ascii="Arial" w:hAnsi="Arial" w:eastAsia="等线" w:cs="Arial"/>
          <w:sz w:val="22"/>
        </w:rPr>
        <w:br w:type="page"/>
      </w:r>
      <w:r>
        <w:drawing>
          <wp:inline distT="0" distB="0" distL="114300" distR="114300">
            <wp:extent cx="5262880" cy="2205990"/>
            <wp:effectExtent l="0" t="0" r="13970" b="3810"/>
            <wp:docPr id="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7"/>
                    <pic:cNvPicPr>
                      <a:picLocks noChangeAspect="1"/>
                    </pic:cNvPicPr>
                  </pic:nvPicPr>
                  <pic:blipFill>
                    <a:blip r:embed="rId48"/>
                    <a:stretch>
                      <a:fillRect/>
                    </a:stretch>
                  </pic:blipFill>
                  <pic:spPr>
                    <a:xfrm>
                      <a:off x="0" y="0"/>
                      <a:ext cx="5262880" cy="2205990"/>
                    </a:xfrm>
                    <a:prstGeom prst="rect">
                      <a:avLst/>
                    </a:prstGeom>
                    <a:noFill/>
                    <a:ln>
                      <a:noFill/>
                    </a:ln>
                  </pic:spPr>
                </pic:pic>
              </a:graphicData>
            </a:graphic>
          </wp:inline>
        </w:drawing>
      </w:r>
    </w:p>
    <w:p w14:paraId="2C16F23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2. 核心申报与模型评估区</w:t>
      </w:r>
    </w:p>
    <w:p w14:paraId="1EB97871">
      <w:pPr>
        <w:spacing w:before="120" w:after="120" w:line="288" w:lineRule="auto"/>
        <w:ind w:left="0" w:firstLine="0"/>
        <w:jc w:val="both"/>
        <w:rPr>
          <w:rFonts w:hint="eastAsia" w:ascii="Arial" w:hAnsi="Arial" w:eastAsia="等线" w:cs="Arial"/>
          <w:sz w:val="22"/>
        </w:rPr>
      </w:pPr>
      <w:r>
        <w:rPr>
          <w:rFonts w:hint="eastAsia" w:ascii="Arial" w:hAnsi="Arial" w:eastAsia="等线" w:cs="Arial"/>
          <w:b/>
          <w:bCs/>
          <w:sz w:val="22"/>
        </w:rPr>
        <w:t>申报建议</w:t>
      </w:r>
      <w:r>
        <w:rPr>
          <w:rFonts w:hint="eastAsia" w:ascii="Arial" w:hAnsi="Arial" w:eastAsia="等线" w:cs="Arial"/>
          <w:sz w:val="22"/>
        </w:rPr>
        <w:t>：基于用户策略偏好配置，按时刻提供现货交易申报建议，包含申报价格、价差预测、套利比例、负荷预测等关键信息，直接辅助用户进行分时段报价决策。</w:t>
      </w:r>
    </w:p>
    <w:p w14:paraId="0685B385">
      <w:pPr>
        <w:spacing w:before="120" w:after="120" w:line="288" w:lineRule="auto"/>
        <w:ind w:left="0" w:firstLine="0"/>
        <w:jc w:val="both"/>
        <w:rPr>
          <w:rFonts w:hint="eastAsia" w:ascii="Arial" w:hAnsi="Arial" w:eastAsia="等线" w:cs="Arial"/>
          <w:sz w:val="22"/>
        </w:rPr>
      </w:pPr>
      <w:r>
        <w:drawing>
          <wp:inline distT="0" distB="0" distL="114300" distR="114300">
            <wp:extent cx="5273040" cy="3143885"/>
            <wp:effectExtent l="0" t="0" r="3810" b="18415"/>
            <wp:docPr id="2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5"/>
                    <pic:cNvPicPr>
                      <a:picLocks noChangeAspect="1"/>
                    </pic:cNvPicPr>
                  </pic:nvPicPr>
                  <pic:blipFill>
                    <a:blip r:embed="rId49"/>
                    <a:stretch>
                      <a:fillRect/>
                    </a:stretch>
                  </pic:blipFill>
                  <pic:spPr>
                    <a:xfrm>
                      <a:off x="0" y="0"/>
                      <a:ext cx="5273040" cy="3143885"/>
                    </a:xfrm>
                    <a:prstGeom prst="rect">
                      <a:avLst/>
                    </a:prstGeom>
                    <a:noFill/>
                    <a:ln>
                      <a:noFill/>
                    </a:ln>
                  </pic:spPr>
                </pic:pic>
              </a:graphicData>
            </a:graphic>
          </wp:inline>
        </w:drawing>
      </w:r>
    </w:p>
    <w:p w14:paraId="10630262">
      <w:pPr>
        <w:spacing w:before="120" w:after="120" w:line="288" w:lineRule="auto"/>
        <w:ind w:left="0" w:firstLine="0"/>
        <w:jc w:val="both"/>
        <w:rPr>
          <w:rFonts w:hint="default" w:ascii="Arial" w:hAnsi="Arial" w:eastAsia="等线" w:cs="Arial"/>
          <w:sz w:val="22"/>
        </w:rPr>
      </w:pPr>
      <w:r>
        <w:rPr>
          <w:rFonts w:hint="eastAsia" w:ascii="Arial" w:hAnsi="Arial" w:eastAsia="等线" w:cs="Arial"/>
          <w:b/>
          <w:bCs/>
          <w:sz w:val="22"/>
        </w:rPr>
        <w:t>近期模型效果</w:t>
      </w:r>
      <w:r>
        <w:rPr>
          <w:rFonts w:hint="eastAsia" w:ascii="Arial" w:hAnsi="Arial" w:eastAsia="等线" w:cs="Arial"/>
          <w:sz w:val="22"/>
        </w:rPr>
        <w:t>：从 “价差预测 - 准确率排名”“价差预测 - 度电盈亏”“负荷预测” 三个维度，对比不同预测模型（太乙 - 通用、太乙 - 深度训练等）的表现，帮助用户选择更适配的模型。分别展示价差预测和负荷预测的各种模型的排名，展示准确率和度电盈亏两个指标。</w:t>
      </w:r>
      <w:r>
        <w:rPr>
          <w:rFonts w:hint="default" w:ascii="Arial" w:hAnsi="Arial" w:eastAsia="等线" w:cs="Arial"/>
          <w:sz w:val="22"/>
        </w:rPr>
        <w:t>每个模型展示当前的排名，环比昨日的排名变化，模型名称，准确率</w:t>
      </w:r>
      <w:r>
        <w:rPr>
          <w:rFonts w:hint="eastAsia" w:ascii="Arial" w:hAnsi="Arial" w:eastAsia="等线" w:cs="Arial"/>
          <w:sz w:val="22"/>
          <w:lang w:val="en-US" w:eastAsia="zh-CN"/>
        </w:rPr>
        <w:t>和</w:t>
      </w:r>
      <w:r>
        <w:rPr>
          <w:rFonts w:hint="default" w:ascii="Arial" w:hAnsi="Arial" w:eastAsia="等线" w:cs="Arial"/>
          <w:sz w:val="22"/>
        </w:rPr>
        <w:t>度电盈亏值和波动性。</w:t>
      </w:r>
    </w:p>
    <w:p w14:paraId="444902EA">
      <w:pPr>
        <w:spacing w:before="120" w:after="120" w:line="288" w:lineRule="auto"/>
        <w:ind w:left="0" w:firstLine="0"/>
        <w:jc w:val="both"/>
        <w:rPr>
          <w:rFonts w:hint="eastAsia" w:ascii="Arial" w:hAnsi="Arial" w:eastAsia="等线" w:cs="Arial"/>
          <w:sz w:val="22"/>
        </w:rPr>
      </w:pPr>
      <w:r>
        <w:drawing>
          <wp:inline distT="0" distB="0" distL="114300" distR="114300">
            <wp:extent cx="5271770" cy="2524760"/>
            <wp:effectExtent l="0" t="0" r="5080" b="8890"/>
            <wp:docPr id="2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4"/>
                    <pic:cNvPicPr>
                      <a:picLocks noChangeAspect="1"/>
                    </pic:cNvPicPr>
                  </pic:nvPicPr>
                  <pic:blipFill>
                    <a:blip r:embed="rId50"/>
                    <a:stretch>
                      <a:fillRect/>
                    </a:stretch>
                  </pic:blipFill>
                  <pic:spPr>
                    <a:xfrm>
                      <a:off x="0" y="0"/>
                      <a:ext cx="5271770" cy="2524760"/>
                    </a:xfrm>
                    <a:prstGeom prst="rect">
                      <a:avLst/>
                    </a:prstGeom>
                    <a:noFill/>
                    <a:ln>
                      <a:noFill/>
                    </a:ln>
                  </pic:spPr>
                </pic:pic>
              </a:graphicData>
            </a:graphic>
          </wp:inline>
        </w:drawing>
      </w:r>
    </w:p>
    <w:p w14:paraId="7F4393E4">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价差预测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展示各个模型分时价差方向预测和预测准确率以及分时维度取相同时刻最高近期准确率组成</w:t>
      </w:r>
      <w:r>
        <w:rPr>
          <w:rFonts w:ascii="Segoe UI" w:hAnsi="Segoe UI" w:eastAsia="Segoe UI" w:cs="Segoe UI"/>
          <w:b/>
          <w:bCs/>
          <w:i w:val="0"/>
          <w:iCs w:val="0"/>
          <w:caps w:val="0"/>
          <w:color w:val="282E3D"/>
          <w:spacing w:val="0"/>
          <w:sz w:val="21"/>
          <w:szCs w:val="21"/>
        </w:rPr>
        <w:t>价差综合预测</w:t>
      </w:r>
    </w:p>
    <w:p w14:paraId="5FB7E136">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drawing>
          <wp:inline distT="0" distB="0" distL="114300" distR="114300">
            <wp:extent cx="5271135" cy="2414905"/>
            <wp:effectExtent l="0" t="0" r="5715" b="4445"/>
            <wp:docPr id="2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3"/>
                    <pic:cNvPicPr>
                      <a:picLocks noChangeAspect="1"/>
                    </pic:cNvPicPr>
                  </pic:nvPicPr>
                  <pic:blipFill>
                    <a:blip r:embed="rId51"/>
                    <a:stretch>
                      <a:fillRect/>
                    </a:stretch>
                  </pic:blipFill>
                  <pic:spPr>
                    <a:xfrm>
                      <a:off x="0" y="0"/>
                      <a:ext cx="5271135" cy="2414905"/>
                    </a:xfrm>
                    <a:prstGeom prst="rect">
                      <a:avLst/>
                    </a:prstGeom>
                    <a:noFill/>
                    <a:ln>
                      <a:noFill/>
                    </a:ln>
                  </pic:spPr>
                </pic:pic>
              </a:graphicData>
            </a:graphic>
          </wp:inline>
        </w:drawing>
      </w:r>
    </w:p>
    <w:p w14:paraId="1E2DBAC0">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负荷预测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展示各个模型分时负荷预测和预测准确率以及分时维度取相同时刻最高近期准确率组成</w:t>
      </w:r>
      <w:r>
        <w:rPr>
          <w:rFonts w:hint="eastAsia" w:ascii="Segoe UI" w:hAnsi="Segoe UI" w:eastAsia="宋体" w:cs="Segoe UI"/>
          <w:b/>
          <w:bCs/>
          <w:i w:val="0"/>
          <w:iCs w:val="0"/>
          <w:caps w:val="0"/>
          <w:color w:val="282E3D"/>
          <w:spacing w:val="0"/>
          <w:sz w:val="21"/>
          <w:szCs w:val="21"/>
          <w:lang w:val="en-US" w:eastAsia="zh-CN"/>
        </w:rPr>
        <w:t>负荷</w:t>
      </w:r>
      <w:r>
        <w:rPr>
          <w:rFonts w:ascii="Segoe UI" w:hAnsi="Segoe UI" w:eastAsia="Segoe UI" w:cs="Segoe UI"/>
          <w:b/>
          <w:bCs/>
          <w:i w:val="0"/>
          <w:iCs w:val="0"/>
          <w:caps w:val="0"/>
          <w:color w:val="282E3D"/>
          <w:spacing w:val="0"/>
          <w:sz w:val="21"/>
          <w:szCs w:val="21"/>
        </w:rPr>
        <w:t>综合预测</w:t>
      </w:r>
    </w:p>
    <w:p w14:paraId="7F45F3DC">
      <w:pPr>
        <w:spacing w:before="120" w:after="120" w:line="288" w:lineRule="auto"/>
        <w:ind w:left="0" w:firstLine="0"/>
        <w:jc w:val="both"/>
        <w:rPr>
          <w:rFonts w:hint="eastAsia" w:ascii="Segoe UI" w:hAnsi="Segoe UI" w:eastAsia="Segoe UI" w:cs="Segoe UI"/>
          <w:b/>
          <w:bCs/>
          <w:i w:val="0"/>
          <w:iCs w:val="0"/>
          <w:caps w:val="0"/>
          <w:color w:val="282E3D"/>
          <w:spacing w:val="0"/>
          <w:sz w:val="21"/>
          <w:szCs w:val="21"/>
          <w:lang w:eastAsia="zh-CN"/>
        </w:rPr>
      </w:pPr>
      <w:r>
        <w:drawing>
          <wp:inline distT="0" distB="0" distL="114300" distR="114300">
            <wp:extent cx="5266690" cy="2874010"/>
            <wp:effectExtent l="0" t="0" r="10160" b="2540"/>
            <wp:docPr id="2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2"/>
                    <pic:cNvPicPr>
                      <a:picLocks noChangeAspect="1"/>
                    </pic:cNvPicPr>
                  </pic:nvPicPr>
                  <pic:blipFill>
                    <a:blip r:embed="rId52"/>
                    <a:stretch>
                      <a:fillRect/>
                    </a:stretch>
                  </pic:blipFill>
                  <pic:spPr>
                    <a:xfrm>
                      <a:off x="0" y="0"/>
                      <a:ext cx="5266690" cy="2874010"/>
                    </a:xfrm>
                    <a:prstGeom prst="rect">
                      <a:avLst/>
                    </a:prstGeom>
                    <a:noFill/>
                    <a:ln>
                      <a:noFill/>
                    </a:ln>
                  </pic:spPr>
                </pic:pic>
              </a:graphicData>
            </a:graphic>
          </wp:inline>
        </w:drawing>
      </w:r>
    </w:p>
    <w:p w14:paraId="5F0AC38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3. 负荷与电量分析区</w:t>
      </w:r>
    </w:p>
    <w:p w14:paraId="74FFA507">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近期负荷走势图</w:t>
      </w:r>
      <w:r>
        <w:rPr>
          <w:rFonts w:hint="eastAsia" w:ascii="Arial" w:hAnsi="Arial" w:eastAsia="等线" w:cs="Arial"/>
          <w:sz w:val="22"/>
        </w:rPr>
        <w:t>：展示实际用电负荷、预测用电负荷及环比变化趋势，标注实际负荷波动性，辅助用户掌握负荷变化规律。增强展示近期负荷走势</w:t>
      </w:r>
    </w:p>
    <w:p w14:paraId="33540866">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计算每一日环比上日的电量变化，展示为柱状图</w:t>
      </w:r>
    </w:p>
    <w:p w14:paraId="7490D271">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增加环比上升10%和下降10%的辅助线</w:t>
      </w:r>
    </w:p>
    <w:p w14:paraId="452A2FEE">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增加统计30天负荷波动性情况指标</w:t>
      </w:r>
    </w:p>
    <w:p w14:paraId="37134912">
      <w:pPr>
        <w:spacing w:before="120" w:after="120" w:line="288" w:lineRule="auto"/>
        <w:ind w:left="0" w:firstLine="0"/>
        <w:jc w:val="both"/>
        <w:rPr>
          <w:rFonts w:hint="eastAsia" w:ascii="Arial" w:hAnsi="Arial" w:eastAsia="等线" w:cs="Arial"/>
          <w:sz w:val="22"/>
        </w:rPr>
      </w:pPr>
      <w:r>
        <w:drawing>
          <wp:inline distT="0" distB="0" distL="114300" distR="114300">
            <wp:extent cx="5267960" cy="3258185"/>
            <wp:effectExtent l="0" t="0" r="8890" b="18415"/>
            <wp:docPr id="1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30"/>
                    <pic:cNvPicPr>
                      <a:picLocks noChangeAspect="1"/>
                    </pic:cNvPicPr>
                  </pic:nvPicPr>
                  <pic:blipFill>
                    <a:blip r:embed="rId53"/>
                    <a:stretch>
                      <a:fillRect/>
                    </a:stretch>
                  </pic:blipFill>
                  <pic:spPr>
                    <a:xfrm>
                      <a:off x="0" y="0"/>
                      <a:ext cx="5267960" cy="3258185"/>
                    </a:xfrm>
                    <a:prstGeom prst="rect">
                      <a:avLst/>
                    </a:prstGeom>
                    <a:noFill/>
                    <a:ln>
                      <a:noFill/>
                    </a:ln>
                  </pic:spPr>
                </pic:pic>
              </a:graphicData>
            </a:graphic>
          </wp:inline>
        </w:drawing>
      </w:r>
    </w:p>
    <w:p w14:paraId="1EE3C9B9">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 7 天的电量对比 3D 图</w:t>
      </w:r>
      <w:r>
        <w:rPr>
          <w:rFonts w:hint="eastAsia" w:ascii="Arial" w:hAnsi="Arial" w:eastAsia="等线" w:cs="Arial"/>
          <w:sz w:val="22"/>
        </w:rPr>
        <w:t>：以三维热力形式呈现近 7 日不同时段的电量变化，直观识别用电高峰与低谷时段。</w:t>
      </w:r>
      <w:r>
        <w:rPr>
          <w:rFonts w:hint="eastAsia" w:ascii="Arial" w:hAnsi="Arial" w:eastAsia="等线" w:cs="Arial"/>
          <w:sz w:val="22"/>
        </w:rPr>
        <w:br w:type="textWrapping"/>
      </w:r>
      <w:r>
        <w:rPr>
          <w:rFonts w:hint="eastAsia" w:ascii="Arial" w:hAnsi="Arial" w:eastAsia="等线" w:cs="Arial"/>
          <w:sz w:val="22"/>
        </w:rPr>
        <w:t>使用3D曲面展示负荷波动情况（近七天的）</w:t>
      </w:r>
    </w:p>
    <w:p w14:paraId="375989A9">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增加统计近7天负荷波动性情况指标</w:t>
      </w:r>
    </w:p>
    <w:p w14:paraId="6CD0FEA7">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对环比上涨10% 下跌10%的地方分别着色强调</w:t>
      </w:r>
    </w:p>
    <w:p w14:paraId="5E12E987">
      <w:pPr>
        <w:spacing w:before="120" w:after="120" w:line="288" w:lineRule="auto"/>
        <w:ind w:left="0" w:firstLine="0"/>
        <w:jc w:val="both"/>
        <w:rPr>
          <w:rFonts w:hint="eastAsia" w:ascii="Arial" w:hAnsi="Arial" w:eastAsia="等线" w:cs="Arial"/>
          <w:sz w:val="22"/>
        </w:rPr>
      </w:pPr>
      <w:r>
        <w:drawing>
          <wp:inline distT="0" distB="0" distL="114300" distR="114300">
            <wp:extent cx="5269230" cy="3376295"/>
            <wp:effectExtent l="0" t="0" r="7620" b="14605"/>
            <wp:docPr id="1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9"/>
                    <pic:cNvPicPr>
                      <a:picLocks noChangeAspect="1"/>
                    </pic:cNvPicPr>
                  </pic:nvPicPr>
                  <pic:blipFill>
                    <a:blip r:embed="rId54"/>
                    <a:stretch>
                      <a:fillRect/>
                    </a:stretch>
                  </pic:blipFill>
                  <pic:spPr>
                    <a:xfrm>
                      <a:off x="0" y="0"/>
                      <a:ext cx="5269230" cy="3376295"/>
                    </a:xfrm>
                    <a:prstGeom prst="rect">
                      <a:avLst/>
                    </a:prstGeom>
                    <a:noFill/>
                    <a:ln>
                      <a:noFill/>
                    </a:ln>
                  </pic:spPr>
                </pic:pic>
              </a:graphicData>
            </a:graphic>
          </wp:inline>
        </w:drawing>
      </w:r>
    </w:p>
    <w:p w14:paraId="54D02DC7">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 xml:space="preserve">4. </w:t>
      </w:r>
      <w:r>
        <w:rPr>
          <w:rFonts w:ascii="Segoe UI" w:hAnsi="Segoe UI" w:eastAsia="Segoe UI" w:cs="Segoe UI"/>
          <w:b/>
          <w:bCs/>
          <w:i w:val="0"/>
          <w:iCs w:val="0"/>
          <w:caps w:val="0"/>
          <w:spacing w:val="0"/>
          <w:sz w:val="24"/>
          <w:szCs w:val="24"/>
          <w:shd w:val="clear" w:fill="FFFFFF"/>
        </w:rPr>
        <w:t>近期现货走势</w:t>
      </w:r>
    </w:p>
    <w:p w14:paraId="5F1DAAE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以 “日期 × 时段” 热力图形式，多维度呈现现货交易的价格与价差分布特征：</w:t>
      </w:r>
    </w:p>
    <w:p w14:paraId="724AEC82">
      <w:pPr>
        <w:spacing w:before="120" w:after="120" w:line="288" w:lineRule="auto"/>
        <w:ind w:left="0" w:firstLine="0"/>
        <w:jc w:val="both"/>
        <w:rPr>
          <w:rFonts w:ascii="宋体" w:hAnsi="宋体" w:eastAsia="宋体" w:cs="宋体"/>
          <w:sz w:val="24"/>
          <w:szCs w:val="24"/>
        </w:rPr>
      </w:pPr>
      <w:r>
        <w:rPr>
          <w:rFonts w:ascii="宋体" w:hAnsi="宋体" w:eastAsia="宋体" w:cs="宋体"/>
          <w:b/>
          <w:bCs/>
          <w:sz w:val="24"/>
          <w:szCs w:val="24"/>
        </w:rPr>
        <w:t>日前价格热力图</w:t>
      </w:r>
      <w:r>
        <w:rPr>
          <w:rFonts w:ascii="宋体" w:hAnsi="宋体" w:eastAsia="宋体" w:cs="宋体"/>
          <w:sz w:val="24"/>
          <w:szCs w:val="24"/>
        </w:rPr>
        <w:t>展示历史日前市场价格分布，把握价格波动规律</w:t>
      </w:r>
      <w:r>
        <w:rPr>
          <w:rFonts w:ascii="宋体" w:hAnsi="宋体" w:eastAsia="宋体" w:cs="宋体"/>
          <w:sz w:val="24"/>
          <w:szCs w:val="24"/>
        </w:rPr>
        <w:br w:type="textWrapping"/>
      </w:r>
      <w:r>
        <w:rPr>
          <w:rFonts w:ascii="宋体" w:hAnsi="宋体" w:eastAsia="宋体" w:cs="宋体"/>
          <w:b/>
          <w:bCs/>
          <w:sz w:val="24"/>
          <w:szCs w:val="24"/>
        </w:rPr>
        <w:t>实时价格热力图</w:t>
      </w:r>
      <w:r>
        <w:rPr>
          <w:rFonts w:ascii="宋体" w:hAnsi="宋体" w:eastAsia="宋体" w:cs="宋体"/>
          <w:sz w:val="24"/>
          <w:szCs w:val="24"/>
        </w:rPr>
        <w:t>呈现实时市场价格分布，对比日前与实时价格差异</w:t>
      </w:r>
      <w:r>
        <w:rPr>
          <w:rFonts w:ascii="宋体" w:hAnsi="宋体" w:eastAsia="宋体" w:cs="宋体"/>
          <w:sz w:val="24"/>
          <w:szCs w:val="24"/>
        </w:rPr>
        <w:br w:type="textWrapping"/>
      </w:r>
      <w:r>
        <w:rPr>
          <w:rFonts w:ascii="宋体" w:hAnsi="宋体" w:eastAsia="宋体" w:cs="宋体"/>
          <w:b/>
          <w:bCs/>
          <w:sz w:val="24"/>
          <w:szCs w:val="24"/>
        </w:rPr>
        <w:t>价差热力图（实时 - 日前）</w:t>
      </w:r>
      <w:r>
        <w:rPr>
          <w:rFonts w:ascii="宋体" w:hAnsi="宋体" w:eastAsia="宋体" w:cs="宋体"/>
          <w:sz w:val="24"/>
          <w:szCs w:val="24"/>
        </w:rPr>
        <w:t>分析实时价格与日前价格的价差分布，识别高收益套利时段</w:t>
      </w:r>
      <w:r>
        <w:rPr>
          <w:rFonts w:ascii="宋体" w:hAnsi="宋体" w:eastAsia="宋体" w:cs="宋体"/>
          <w:sz w:val="24"/>
          <w:szCs w:val="24"/>
        </w:rPr>
        <w:br w:type="textWrapping"/>
      </w:r>
      <w:r>
        <w:rPr>
          <w:rFonts w:ascii="宋体" w:hAnsi="宋体" w:eastAsia="宋体" w:cs="宋体"/>
          <w:b/>
          <w:bCs/>
          <w:sz w:val="24"/>
          <w:szCs w:val="24"/>
        </w:rPr>
        <w:t>价差方向预测热力图</w:t>
      </w:r>
      <w:r>
        <w:rPr>
          <w:rFonts w:ascii="宋体" w:hAnsi="宋体" w:eastAsia="宋体" w:cs="宋体"/>
          <w:sz w:val="24"/>
          <w:szCs w:val="24"/>
        </w:rPr>
        <w:t>预测未来不同时段的价差方向，辅助判断报价策略方向</w:t>
      </w:r>
    </w:p>
    <w:p w14:paraId="55DCD46E">
      <w:pPr>
        <w:spacing w:before="120" w:after="120" w:line="288" w:lineRule="auto"/>
        <w:ind w:left="0" w:firstLine="0"/>
        <w:jc w:val="both"/>
        <w:rPr>
          <w:rFonts w:ascii="宋体" w:hAnsi="宋体" w:eastAsia="宋体" w:cs="宋体"/>
          <w:sz w:val="24"/>
          <w:szCs w:val="24"/>
        </w:rPr>
      </w:pPr>
      <w:r>
        <w:drawing>
          <wp:inline distT="0" distB="0" distL="114300" distR="114300">
            <wp:extent cx="5269865" cy="2631440"/>
            <wp:effectExtent l="0" t="0" r="6985" b="16510"/>
            <wp:docPr id="1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8"/>
                    <pic:cNvPicPr>
                      <a:picLocks noChangeAspect="1"/>
                    </pic:cNvPicPr>
                  </pic:nvPicPr>
                  <pic:blipFill>
                    <a:blip r:embed="rId55"/>
                    <a:stretch>
                      <a:fillRect/>
                    </a:stretch>
                  </pic:blipFill>
                  <pic:spPr>
                    <a:xfrm>
                      <a:off x="0" y="0"/>
                      <a:ext cx="5269865" cy="2631440"/>
                    </a:xfrm>
                    <a:prstGeom prst="rect">
                      <a:avLst/>
                    </a:prstGeom>
                    <a:noFill/>
                    <a:ln>
                      <a:noFill/>
                    </a:ln>
                  </pic:spPr>
                </pic:pic>
              </a:graphicData>
            </a:graphic>
          </wp:inline>
        </w:drawing>
      </w:r>
    </w:p>
    <w:p w14:paraId="22A8240D">
      <w:pPr>
        <w:spacing w:before="120" w:after="120" w:line="288" w:lineRule="auto"/>
        <w:ind w:left="0" w:firstLine="0"/>
        <w:jc w:val="both"/>
        <w:rPr>
          <w:rFonts w:hint="default" w:ascii="Arial" w:hAnsi="Arial" w:eastAsia="等线" w:cs="Arial"/>
          <w:b/>
          <w:bCs/>
          <w:sz w:val="22"/>
          <w:lang w:val="en-US" w:eastAsia="zh-CN"/>
        </w:rPr>
      </w:pPr>
      <w:r>
        <w:rPr>
          <w:rFonts w:hint="eastAsia" w:ascii="Arial" w:hAnsi="Arial" w:eastAsia="等线" w:cs="Arial"/>
          <w:b/>
          <w:bCs/>
          <w:sz w:val="22"/>
          <w:lang w:val="en-US" w:eastAsia="zh-CN"/>
        </w:rPr>
        <w:t>5.</w:t>
      </w:r>
      <w:r>
        <w:rPr>
          <w:rFonts w:hint="default" w:ascii="Arial" w:hAnsi="Arial" w:eastAsia="等线" w:cs="Arial"/>
          <w:b/>
          <w:bCs/>
          <w:sz w:val="22"/>
          <w:lang w:val="en-US" w:eastAsia="zh-CN"/>
        </w:rPr>
        <w:t>气象热力图</w:t>
      </w:r>
    </w:p>
    <w:p w14:paraId="3E58AF1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25E1C48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73EBBC6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60C19C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245F61B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626F4B6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2A5C9922">
      <w:pPr>
        <w:numPr>
          <w:ilvl w:val="0"/>
          <w:numId w:val="0"/>
        </w:numPr>
        <w:spacing w:before="120" w:after="120" w:line="288" w:lineRule="auto"/>
        <w:ind w:leftChars="0"/>
        <w:jc w:val="both"/>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风速热力图：风速直接决定风电出力水平，是风电出力预测的核心参考指标。</w:t>
      </w:r>
    </w:p>
    <w:p w14:paraId="1E88AB97">
      <w:pPr>
        <w:numPr>
          <w:ilvl w:val="0"/>
          <w:numId w:val="0"/>
        </w:numPr>
        <w:spacing w:before="120" w:after="120" w:line="288" w:lineRule="auto"/>
        <w:ind w:leftChars="0"/>
        <w:jc w:val="both"/>
      </w:pPr>
      <w:r>
        <w:drawing>
          <wp:inline distT="0" distB="0" distL="114300" distR="114300">
            <wp:extent cx="5262245" cy="2113280"/>
            <wp:effectExtent l="0" t="0" r="14605" b="1270"/>
            <wp:docPr id="1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7"/>
                    <pic:cNvPicPr>
                      <a:picLocks noChangeAspect="1"/>
                    </pic:cNvPicPr>
                  </pic:nvPicPr>
                  <pic:blipFill>
                    <a:blip r:embed="rId56"/>
                    <a:stretch>
                      <a:fillRect/>
                    </a:stretch>
                  </pic:blipFill>
                  <pic:spPr>
                    <a:xfrm>
                      <a:off x="0" y="0"/>
                      <a:ext cx="5262245" cy="2113280"/>
                    </a:xfrm>
                    <a:prstGeom prst="rect">
                      <a:avLst/>
                    </a:prstGeom>
                    <a:noFill/>
                    <a:ln>
                      <a:noFill/>
                    </a:ln>
                  </pic:spPr>
                </pic:pic>
              </a:graphicData>
            </a:graphic>
          </wp:inline>
        </w:drawing>
      </w:r>
    </w:p>
    <w:p w14:paraId="00AD4CCE">
      <w:pPr>
        <w:numPr>
          <w:ilvl w:val="0"/>
          <w:numId w:val="0"/>
        </w:numPr>
        <w:spacing w:before="120" w:after="120" w:line="288" w:lineRule="auto"/>
        <w:ind w:leftChars="0"/>
        <w:jc w:val="both"/>
        <w:rPr>
          <w:rFonts w:hint="eastAsia"/>
          <w:lang w:eastAsia="zh"/>
        </w:rPr>
      </w:pPr>
    </w:p>
    <w:p w14:paraId="01E0987F">
      <w:pPr>
        <w:spacing w:before="300" w:after="120" w:line="288" w:lineRule="auto"/>
        <w:ind w:left="0"/>
        <w:jc w:val="left"/>
        <w:outlineLvl w:val="2"/>
      </w:pPr>
      <w:bookmarkStart w:id="16" w:name="heading_183"/>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5</w:t>
      </w:r>
      <w:r>
        <w:rPr>
          <w:rFonts w:ascii="Arial" w:hAnsi="Arial" w:eastAsia="等线" w:cs="Arial"/>
          <w:b/>
          <w:sz w:val="30"/>
          <w:szCs w:val="30"/>
        </w:rPr>
        <w:t>用电负荷</w:t>
      </w:r>
      <w:bookmarkEnd w:id="16"/>
    </w:p>
    <w:p w14:paraId="3D29167D">
      <w:pPr>
        <w:spacing w:before="240" w:after="80" w:line="288" w:lineRule="auto"/>
        <w:outlineLvl w:val="3"/>
      </w:pPr>
      <w:r>
        <w:rPr>
          <w:rFonts w:ascii="Arial" w:hAnsi="Arial" w:eastAsia="等线" w:cs="Arial"/>
          <w:b/>
          <w:sz w:val="26"/>
          <w:szCs w:val="26"/>
        </w:rPr>
        <w:t>操作说明</w:t>
      </w:r>
    </w:p>
    <w:p w14:paraId="546AB407">
      <w:pPr>
        <w:spacing w:before="240" w:after="80" w:line="288" w:lineRule="auto"/>
        <w:outlineLvl w:val="3"/>
      </w:pPr>
      <w:r>
        <w:rPr>
          <w:rFonts w:ascii="Arial" w:hAnsi="Arial" w:eastAsia="等线" w:cs="Arial"/>
          <w:b/>
          <w:sz w:val="26"/>
          <w:szCs w:val="26"/>
        </w:rPr>
        <w:t>模块简介</w:t>
      </w:r>
    </w:p>
    <w:p w14:paraId="28FF4AA1">
      <w:pPr>
        <w:spacing w:before="120" w:after="120" w:line="288" w:lineRule="auto"/>
        <w:ind w:left="0" w:firstLine="0"/>
        <w:jc w:val="left"/>
      </w:pPr>
      <w:r>
        <w:rPr>
          <w:rFonts w:ascii="Arial" w:hAnsi="Arial" w:eastAsia="等线" w:cs="Arial"/>
          <w:sz w:val="22"/>
        </w:rPr>
        <w:t>本模块主要展示代理用户的用电情况及分布情况，提供给交易人员快速了解用户用电情况以进行交易决策。</w:t>
      </w:r>
    </w:p>
    <w:p w14:paraId="27A8286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3163570"/>
            <wp:effectExtent l="0" t="0" r="11430" b="17780"/>
            <wp:docPr id="1307" name="图片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 name="图片 1307"/>
                    <pic:cNvPicPr>
                      <a:picLocks noChangeAspect="1"/>
                    </pic:cNvPicPr>
                  </pic:nvPicPr>
                  <pic:blipFill>
                    <a:blip r:embed="rId57"/>
                    <a:stretch>
                      <a:fillRect/>
                    </a:stretch>
                  </pic:blipFill>
                  <pic:spPr>
                    <a:xfrm>
                      <a:off x="0" y="0"/>
                      <a:ext cx="5265420" cy="3163570"/>
                    </a:xfrm>
                    <a:prstGeom prst="rect">
                      <a:avLst/>
                    </a:prstGeom>
                  </pic:spPr>
                </pic:pic>
              </a:graphicData>
            </a:graphic>
          </wp:inline>
        </w:drawing>
      </w:r>
    </w:p>
    <w:p w14:paraId="0FF0B57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340" cy="3201035"/>
            <wp:effectExtent l="0" t="0" r="16510" b="18415"/>
            <wp:docPr id="1308" name="图片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 name="图片 1308"/>
                    <pic:cNvPicPr>
                      <a:picLocks noChangeAspect="1"/>
                    </pic:cNvPicPr>
                  </pic:nvPicPr>
                  <pic:blipFill>
                    <a:blip r:embed="rId58"/>
                    <a:stretch>
                      <a:fillRect/>
                    </a:stretch>
                  </pic:blipFill>
                  <pic:spPr>
                    <a:xfrm>
                      <a:off x="0" y="0"/>
                      <a:ext cx="5260340" cy="3201035"/>
                    </a:xfrm>
                    <a:prstGeom prst="rect">
                      <a:avLst/>
                    </a:prstGeom>
                  </pic:spPr>
                </pic:pic>
              </a:graphicData>
            </a:graphic>
          </wp:inline>
        </w:drawing>
      </w:r>
    </w:p>
    <w:p w14:paraId="4BDB180F">
      <w:pPr>
        <w:spacing w:before="120" w:after="120" w:line="288" w:lineRule="auto"/>
        <w:ind w:left="0" w:firstLine="0"/>
        <w:jc w:val="left"/>
      </w:pPr>
      <w:r>
        <w:rPr>
          <w:rFonts w:ascii="Arial" w:hAnsi="Arial" w:eastAsia="等线" w:cs="Arial"/>
          <w:sz w:val="22"/>
        </w:rPr>
        <w:t>页面的整体数据来自于交易数内的代理用户用电明细，点击日期切换数据的展示范围，用户名称默认为空， 展示所有当日具备生效的交易合同的客户的用电情况。可指定筛选某个用户以定向查看。</w:t>
      </w:r>
    </w:p>
    <w:p w14:paraId="1E906B63">
      <w:pPr>
        <w:spacing w:before="120" w:after="120" w:line="288" w:lineRule="auto"/>
        <w:ind w:left="0" w:firstLine="0"/>
        <w:jc w:val="left"/>
      </w:pPr>
      <w:r>
        <w:rPr>
          <w:rFonts w:ascii="Arial" w:hAnsi="Arial" w:eastAsia="等线" w:cs="Arial"/>
          <w:sz w:val="22"/>
        </w:rPr>
        <w:t>统计并展示用户的当日用电量、昨日用电量、7日前用电量、用户户号数量、昨日用电户号数量。用电类型分布、峰平谷用电占比、用户日负荷变化、户号用电详情、峰平谷用电。</w:t>
      </w:r>
    </w:p>
    <w:p w14:paraId="24F587E6">
      <w:pPr>
        <w:spacing w:before="300" w:after="120" w:line="288" w:lineRule="auto"/>
        <w:ind w:left="0"/>
        <w:jc w:val="left"/>
        <w:outlineLvl w:val="2"/>
      </w:pPr>
      <w:bookmarkStart w:id="17" w:name="heading_184"/>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6</w:t>
      </w:r>
      <w:r>
        <w:rPr>
          <w:rFonts w:ascii="Arial" w:hAnsi="Arial" w:eastAsia="等线" w:cs="Arial"/>
          <w:b/>
          <w:sz w:val="30"/>
          <w:szCs w:val="30"/>
        </w:rPr>
        <w:t>交易数据</w:t>
      </w:r>
      <w:bookmarkEnd w:id="17"/>
    </w:p>
    <w:p w14:paraId="334DD912">
      <w:pPr>
        <w:spacing w:before="240" w:after="80" w:line="288" w:lineRule="auto"/>
        <w:outlineLvl w:val="3"/>
      </w:pPr>
      <w:r>
        <w:rPr>
          <w:rFonts w:ascii="Arial" w:hAnsi="Arial" w:eastAsia="等线" w:cs="Arial"/>
          <w:b/>
          <w:sz w:val="26"/>
          <w:szCs w:val="26"/>
        </w:rPr>
        <w:t>模块简介</w:t>
      </w:r>
    </w:p>
    <w:p w14:paraId="7B55C597">
      <w:pPr>
        <w:spacing w:before="240" w:after="80" w:line="288" w:lineRule="auto"/>
        <w:outlineLvl w:val="3"/>
      </w:pPr>
      <w:r>
        <w:rPr>
          <w:rFonts w:ascii="Arial" w:hAnsi="Arial" w:eastAsia="等线" w:cs="Arial"/>
          <w:b/>
          <w:sz w:val="26"/>
          <w:szCs w:val="26"/>
        </w:rPr>
        <w:t>操作说明</w:t>
      </w:r>
    </w:p>
    <w:p w14:paraId="733B6163">
      <w:pPr>
        <w:spacing w:before="120" w:after="120" w:line="288" w:lineRule="auto"/>
        <w:ind w:left="0" w:firstLine="0"/>
        <w:jc w:val="left"/>
      </w:pPr>
      <w:r>
        <w:rPr>
          <w:rFonts w:ascii="Arial" w:hAnsi="Arial" w:eastAsia="等线" w:cs="Arial"/>
          <w:sz w:val="22"/>
        </w:rPr>
        <w:t>本模块主要用以维护</w:t>
      </w:r>
      <w:r>
        <w:rPr>
          <w:rFonts w:hint="eastAsia" w:ascii="Arial" w:hAnsi="Arial" w:eastAsia="等线" w:cs="Arial"/>
          <w:sz w:val="22"/>
          <w:lang w:val="en-US" w:eastAsia="zh-CN"/>
        </w:rPr>
        <w:t>现货成交电量</w:t>
      </w:r>
      <w:r>
        <w:rPr>
          <w:rFonts w:ascii="Arial" w:hAnsi="Arial" w:eastAsia="等线" w:cs="Arial"/>
          <w:sz w:val="22"/>
        </w:rPr>
        <w:t>、中长期持仓、代理用户用电明细、代理用户用电总计等基础数据，是售电公司大部分私有数据的来源。</w:t>
      </w:r>
    </w:p>
    <w:p w14:paraId="657EB8B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323340"/>
            <wp:effectExtent l="0" t="0" r="9525" b="10160"/>
            <wp:docPr id="1309" name="图片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 name="图片 1309"/>
                    <pic:cNvPicPr>
                      <a:picLocks noChangeAspect="1"/>
                    </pic:cNvPicPr>
                  </pic:nvPicPr>
                  <pic:blipFill>
                    <a:blip r:embed="rId59"/>
                    <a:stretch>
                      <a:fillRect/>
                    </a:stretch>
                  </pic:blipFill>
                  <pic:spPr>
                    <a:xfrm>
                      <a:off x="0" y="0"/>
                      <a:ext cx="5267325" cy="1323340"/>
                    </a:xfrm>
                    <a:prstGeom prst="rect">
                      <a:avLst/>
                    </a:prstGeom>
                  </pic:spPr>
                </pic:pic>
              </a:graphicData>
            </a:graphic>
          </wp:inline>
        </w:drawing>
      </w:r>
    </w:p>
    <w:p w14:paraId="7A060EEA">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3040" cy="1610360"/>
            <wp:effectExtent l="0" t="0" r="3810" b="8890"/>
            <wp:docPr id="1310" name="图片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 name="图片 1310"/>
                    <pic:cNvPicPr>
                      <a:picLocks noChangeAspect="1"/>
                    </pic:cNvPicPr>
                  </pic:nvPicPr>
                  <pic:blipFill>
                    <a:blip r:embed="rId60"/>
                    <a:stretch>
                      <a:fillRect/>
                    </a:stretch>
                  </pic:blipFill>
                  <pic:spPr>
                    <a:xfrm>
                      <a:off x="0" y="0"/>
                      <a:ext cx="5273040" cy="1610360"/>
                    </a:xfrm>
                    <a:prstGeom prst="rect">
                      <a:avLst/>
                    </a:prstGeom>
                  </pic:spPr>
                </pic:pic>
              </a:graphicData>
            </a:graphic>
          </wp:inline>
        </w:drawing>
      </w:r>
    </w:p>
    <w:p w14:paraId="6A9B7CD5">
      <w:pPr>
        <w:spacing w:before="120" w:after="120" w:line="288" w:lineRule="auto"/>
        <w:ind w:left="0" w:firstLine="0"/>
        <w:jc w:val="left"/>
      </w:pPr>
      <w:r>
        <w:rPr>
          <w:rFonts w:ascii="Arial" w:hAnsi="Arial" w:eastAsia="等线" w:cs="Arial"/>
          <w:sz w:val="22"/>
        </w:rPr>
        <w:t xml:space="preserve"> 点击持仓情况后的点击，进入持仓的维护页面，依据在交易日历中发布的当月所具有的交易事件，维护在对应事件下购买或售出的电量和电价。在交易的电量为绿电时，还需要额外维护环境权益价格。在维护年交易时，则需要按照交易的实际情况维护各月的拆解电量及价格。</w:t>
      </w:r>
    </w:p>
    <w:p w14:paraId="2E3BDACB">
      <w:pPr>
        <w:spacing w:before="120" w:after="120" w:line="288" w:lineRule="auto"/>
        <w:ind w:left="0"/>
        <w:jc w:val="center"/>
        <w:rPr>
          <w:rFonts w:hint="default"/>
        </w:rPr>
      </w:pPr>
      <w:r>
        <w:rPr>
          <w:rFonts w:hint="default"/>
        </w:rPr>
        <w:drawing>
          <wp:inline distT="0" distB="0" distL="114300" distR="114300">
            <wp:extent cx="5259070" cy="2541905"/>
            <wp:effectExtent l="0" t="0" r="17780" b="10795"/>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pic:cNvPicPr>
                  </pic:nvPicPr>
                  <pic:blipFill>
                    <a:blip r:embed="rId61"/>
                    <a:stretch>
                      <a:fillRect/>
                    </a:stretch>
                  </pic:blipFill>
                  <pic:spPr>
                    <a:xfrm>
                      <a:off x="0" y="0"/>
                      <a:ext cx="5259070" cy="2541905"/>
                    </a:xfrm>
                    <a:prstGeom prst="rect">
                      <a:avLst/>
                    </a:prstGeom>
                  </pic:spPr>
                </pic:pic>
              </a:graphicData>
            </a:graphic>
          </wp:inline>
        </w:drawing>
      </w:r>
    </w:p>
    <w:p w14:paraId="4CA958BC">
      <w:pPr>
        <w:spacing w:before="120" w:after="120" w:line="288" w:lineRule="auto"/>
        <w:ind w:left="0" w:firstLine="0"/>
        <w:jc w:val="left"/>
      </w:pPr>
      <w:r>
        <w:rPr>
          <w:rFonts w:ascii="Arial" w:hAnsi="Arial" w:eastAsia="等线" w:cs="Arial"/>
          <w:sz w:val="22"/>
        </w:rPr>
        <w:t>点击代理用户用电明细后的编辑，进入代理用户用电明细的维护页面。</w:t>
      </w:r>
    </w:p>
    <w:p w14:paraId="2597B761">
      <w:pPr>
        <w:spacing w:before="120" w:after="120" w:line="288" w:lineRule="auto"/>
        <w:ind w:left="0"/>
        <w:jc w:val="center"/>
        <w:rPr>
          <w:rFonts w:hint="default"/>
        </w:rPr>
      </w:pPr>
      <w:r>
        <w:rPr>
          <w:rFonts w:hint="default"/>
        </w:rPr>
        <w:drawing>
          <wp:inline distT="0" distB="0" distL="114300" distR="114300">
            <wp:extent cx="5267960" cy="2541270"/>
            <wp:effectExtent l="0" t="0" r="8890" b="11430"/>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pic:cNvPicPr>
                  </pic:nvPicPr>
                  <pic:blipFill>
                    <a:blip r:embed="rId62"/>
                    <a:stretch>
                      <a:fillRect/>
                    </a:stretch>
                  </pic:blipFill>
                  <pic:spPr>
                    <a:xfrm>
                      <a:off x="0" y="0"/>
                      <a:ext cx="5267960" cy="2541270"/>
                    </a:xfrm>
                    <a:prstGeom prst="rect">
                      <a:avLst/>
                    </a:prstGeom>
                  </pic:spPr>
                </pic:pic>
              </a:graphicData>
            </a:graphic>
          </wp:inline>
        </w:drawing>
      </w:r>
    </w:p>
    <w:p w14:paraId="5488B948">
      <w:pPr>
        <w:spacing w:before="120" w:after="120" w:line="288" w:lineRule="auto"/>
        <w:ind w:left="0" w:firstLine="0"/>
        <w:jc w:val="left"/>
      </w:pPr>
      <w:r>
        <w:rPr>
          <w:rFonts w:ascii="Arial" w:hAnsi="Arial" w:eastAsia="等线" w:cs="Arial"/>
          <w:sz w:val="22"/>
        </w:rPr>
        <w:t>点击上传电量数据，选定所要维护的数据范围，下载模板填写后上传。若有无效数据将在无效数据内体现，可导出无效数据，修改后再次进行上传，点击确定将对有效数据进行保存。</w:t>
      </w:r>
    </w:p>
    <w:p w14:paraId="71CFFFFC">
      <w:pPr>
        <w:spacing w:before="120" w:after="120" w:line="288" w:lineRule="auto"/>
        <w:ind w:left="0"/>
        <w:jc w:val="center"/>
      </w:pPr>
    </w:p>
    <w:p w14:paraId="2F7C26DA">
      <w:pPr>
        <w:spacing w:before="320" w:after="120" w:line="288" w:lineRule="auto"/>
        <w:ind w:left="0"/>
        <w:jc w:val="left"/>
        <w:outlineLvl w:val="1"/>
        <w:rPr>
          <w:rFonts w:hint="eastAsia" w:eastAsia="等线"/>
          <w:lang w:eastAsia="zh-CN"/>
        </w:rPr>
      </w:pPr>
      <w:bookmarkStart w:id="18" w:name="_Toc5986"/>
      <w:bookmarkStart w:id="19" w:name="heading_191"/>
      <w:r>
        <w:rPr>
          <w:rFonts w:hint="eastAsia" w:ascii="Arial" w:hAnsi="Arial" w:eastAsia="等线" w:cs="Arial"/>
          <w:b/>
          <w:sz w:val="36"/>
          <w:szCs w:val="36"/>
          <w:lang w:val="en-US" w:eastAsia="zh-CN"/>
        </w:rPr>
        <w:t>5</w:t>
      </w:r>
      <w:r>
        <w:rPr>
          <w:rFonts w:ascii="Arial" w:hAnsi="Arial" w:eastAsia="等线" w:cs="Arial"/>
          <w:b/>
          <w:sz w:val="36"/>
          <w:szCs w:val="36"/>
        </w:rPr>
        <w:t>复盘分析</w:t>
      </w:r>
      <w:bookmarkEnd w:id="18"/>
      <w:bookmarkEnd w:id="19"/>
    </w:p>
    <w:p w14:paraId="0E27976A">
      <w:pPr>
        <w:spacing w:before="300" w:after="120" w:line="288" w:lineRule="auto"/>
        <w:ind w:left="0"/>
        <w:jc w:val="left"/>
        <w:outlineLvl w:val="2"/>
      </w:pPr>
      <w:bookmarkStart w:id="20" w:name="heading_193"/>
      <w:r>
        <w:rPr>
          <w:rFonts w:hint="eastAsia" w:ascii="Arial" w:hAnsi="Arial" w:eastAsia="等线" w:cs="Arial"/>
          <w:b/>
          <w:sz w:val="30"/>
          <w:szCs w:val="30"/>
          <w:lang w:val="en-US" w:eastAsia="zh-CN"/>
        </w:rPr>
        <w:t>5</w:t>
      </w:r>
      <w:r>
        <w:rPr>
          <w:rFonts w:ascii="Arial" w:hAnsi="Arial" w:eastAsia="等线" w:cs="Arial"/>
          <w:b/>
          <w:sz w:val="30"/>
          <w:szCs w:val="30"/>
        </w:rPr>
        <w:t>.</w:t>
      </w:r>
      <w:r>
        <w:rPr>
          <w:rFonts w:hint="eastAsia" w:ascii="Arial" w:hAnsi="Arial" w:eastAsia="等线" w:cs="Arial"/>
          <w:b/>
          <w:sz w:val="30"/>
          <w:szCs w:val="30"/>
          <w:lang w:val="en-US" w:eastAsia="zh-CN"/>
        </w:rPr>
        <w:t>1</w:t>
      </w:r>
      <w:r>
        <w:rPr>
          <w:rFonts w:ascii="Arial" w:hAnsi="Arial" w:eastAsia="等线" w:cs="Arial"/>
          <w:b/>
          <w:sz w:val="30"/>
          <w:szCs w:val="30"/>
        </w:rPr>
        <w:t>算法策略复盘</w:t>
      </w:r>
      <w:bookmarkEnd w:id="20"/>
    </w:p>
    <w:p w14:paraId="65EC90E1">
      <w:pPr>
        <w:spacing w:before="240" w:after="80" w:line="288" w:lineRule="auto"/>
        <w:outlineLvl w:val="3"/>
      </w:pPr>
      <w:r>
        <w:rPr>
          <w:rFonts w:ascii="Arial" w:hAnsi="Arial" w:eastAsia="等线" w:cs="Arial"/>
          <w:b/>
          <w:sz w:val="26"/>
          <w:szCs w:val="26"/>
        </w:rPr>
        <w:t>模块简介</w:t>
      </w:r>
    </w:p>
    <w:p w14:paraId="3D2E5D99">
      <w:pPr>
        <w:spacing w:before="120" w:after="120" w:line="288" w:lineRule="auto"/>
        <w:ind w:left="0"/>
        <w:jc w:val="left"/>
      </w:pPr>
      <w:r>
        <w:rPr>
          <w:rFonts w:hint="default" w:ascii="Arial" w:hAnsi="Arial" w:eastAsia="等线" w:cs="Arial"/>
          <w:sz w:val="22"/>
          <w:lang w:val="en-US" w:eastAsia="zh-CN"/>
        </w:rPr>
        <w:t>本模块是电力交易业务的算法预测模型效果复盘工具，通过多维度指标分析不同预测模型（价差方向、负荷、价格、新能源出力等）的表现，帮助用户评估模型准确率、稳定性，</w:t>
      </w:r>
      <w:r>
        <w:rPr>
          <w:rFonts w:hint="eastAsia"/>
        </w:rPr>
        <w:t>快速定位当前表现最优的模型，</w:t>
      </w:r>
      <w:r>
        <w:rPr>
          <w:rFonts w:hint="default" w:ascii="Arial" w:hAnsi="Arial" w:eastAsia="等线" w:cs="Arial"/>
          <w:sz w:val="22"/>
          <w:lang w:val="en-US" w:eastAsia="zh-CN"/>
        </w:rPr>
        <w:t>为模型优化与交易策略迭代提供数据支撑</w:t>
      </w:r>
      <w:r>
        <w:rPr>
          <w:rFonts w:hint="eastAsia" w:ascii="Arial" w:hAnsi="Arial" w:eastAsia="等线" w:cs="Arial"/>
          <w:sz w:val="22"/>
          <w:lang w:val="en-US" w:eastAsia="zh-CN"/>
        </w:rPr>
        <w:t>，</w:t>
      </w:r>
      <w:r>
        <w:rPr>
          <w:rFonts w:hint="eastAsia"/>
        </w:rPr>
        <w:t>帮助用户辅助后续交易策略中模型的选择与优化。</w:t>
      </w:r>
    </w:p>
    <w:p w14:paraId="67000B7F">
      <w:pPr>
        <w:spacing w:before="120" w:after="120" w:line="288" w:lineRule="auto"/>
        <w:ind w:left="0" w:firstLine="0"/>
        <w:jc w:val="left"/>
        <w:rPr>
          <w:rFonts w:hint="default" w:ascii="Arial" w:hAnsi="Arial" w:eastAsia="等线" w:cs="Arial"/>
          <w:sz w:val="22"/>
        </w:rPr>
      </w:pPr>
    </w:p>
    <w:p w14:paraId="6DE0E705">
      <w:pPr>
        <w:spacing w:before="120" w:after="120" w:line="288" w:lineRule="auto"/>
        <w:ind w:left="0"/>
        <w:jc w:val="center"/>
        <w:rPr>
          <w:rFonts w:hint="eastAsia" w:eastAsiaTheme="minorEastAsia"/>
          <w:lang w:eastAsia="zh"/>
        </w:rPr>
      </w:pPr>
      <w:r>
        <w:drawing>
          <wp:inline distT="0" distB="0" distL="114300" distR="114300">
            <wp:extent cx="5266690" cy="2294890"/>
            <wp:effectExtent l="0" t="0" r="10160"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3"/>
                    <a:stretch>
                      <a:fillRect/>
                    </a:stretch>
                  </pic:blipFill>
                  <pic:spPr>
                    <a:xfrm>
                      <a:off x="0" y="0"/>
                      <a:ext cx="5266690" cy="2294890"/>
                    </a:xfrm>
                    <a:prstGeom prst="rect">
                      <a:avLst/>
                    </a:prstGeom>
                    <a:noFill/>
                    <a:ln>
                      <a:noFill/>
                    </a:ln>
                  </pic:spPr>
                </pic:pic>
              </a:graphicData>
            </a:graphic>
          </wp:inline>
        </w:drawing>
      </w:r>
    </w:p>
    <w:p w14:paraId="274EADE2">
      <w:pPr>
        <w:spacing w:before="120" w:after="120" w:line="288" w:lineRule="auto"/>
        <w:ind w:left="0"/>
        <w:jc w:val="center"/>
      </w:pPr>
    </w:p>
    <w:p w14:paraId="7A71542F">
      <w:pPr>
        <w:spacing w:before="240" w:after="80" w:line="288" w:lineRule="auto"/>
        <w:outlineLvl w:val="3"/>
      </w:pPr>
      <w:r>
        <w:rPr>
          <w:rFonts w:ascii="Arial" w:hAnsi="Arial" w:eastAsia="等线" w:cs="Arial"/>
          <w:b/>
          <w:sz w:val="26"/>
          <w:szCs w:val="26"/>
        </w:rPr>
        <w:t>操作说明</w:t>
      </w:r>
    </w:p>
    <w:p w14:paraId="5DA22AC0">
      <w:pPr>
        <w:spacing w:before="120" w:after="120" w:line="288" w:lineRule="auto"/>
        <w:ind w:left="0"/>
        <w:jc w:val="left"/>
        <w:rPr>
          <w:rFonts w:hint="eastAsia"/>
        </w:rPr>
      </w:pPr>
      <w:r>
        <w:rPr>
          <w:rFonts w:hint="eastAsia"/>
        </w:rPr>
        <w:t>1. 顶部查询与操作区</w:t>
      </w:r>
    </w:p>
    <w:p w14:paraId="571DC751">
      <w:pPr>
        <w:spacing w:before="120" w:after="120" w:line="288" w:lineRule="auto"/>
        <w:ind w:left="0"/>
        <w:jc w:val="left"/>
        <w:rPr>
          <w:rFonts w:hint="eastAsia"/>
        </w:rPr>
      </w:pPr>
      <w:r>
        <w:rPr>
          <w:rFonts w:hint="eastAsia"/>
        </w:rPr>
        <w:t>预测</w:t>
      </w:r>
      <w:r>
        <w:rPr>
          <w:rFonts w:hint="eastAsia"/>
          <w:lang w:val="en-US" w:eastAsia="zh-CN"/>
        </w:rPr>
        <w:t>Tab</w:t>
      </w:r>
      <w:r>
        <w:rPr>
          <w:rFonts w:hint="eastAsia"/>
        </w:rPr>
        <w:t>标签切换：可切换不同预测模型的复盘页面，包括「价差方向预测」「负荷预测」「日前价格预测」「实时价格预测」「区域负荷预测」「日前风电 / 光伏出力预测」「日前竞价空间预测」「风电 / 光伏实时出力预测」等。</w:t>
      </w:r>
    </w:p>
    <w:p w14:paraId="17FDDBCB">
      <w:pPr>
        <w:spacing w:before="120" w:after="120" w:line="288" w:lineRule="auto"/>
        <w:ind w:left="0"/>
        <w:jc w:val="left"/>
        <w:rPr>
          <w:rFonts w:hint="eastAsia"/>
        </w:rPr>
      </w:pPr>
      <w:r>
        <w:rPr>
          <w:rFonts w:hint="eastAsia"/>
        </w:rPr>
        <w:t>日期范围选择：自定义复盘的</w:t>
      </w:r>
      <w:r>
        <w:rPr>
          <w:rFonts w:hint="eastAsia"/>
          <w:lang w:val="en-US" w:eastAsia="zh-CN"/>
        </w:rPr>
        <w:t>日期</w:t>
      </w:r>
      <w:r>
        <w:rPr>
          <w:rFonts w:hint="eastAsia"/>
        </w:rPr>
        <w:t>时间区间（如示例中的 2026-05-15 至 2026-06-15），确定数据统计范围。</w:t>
      </w:r>
    </w:p>
    <w:p w14:paraId="6C4323FB">
      <w:pPr>
        <w:spacing w:before="120" w:after="120" w:line="288" w:lineRule="auto"/>
        <w:ind w:left="0"/>
        <w:jc w:val="left"/>
        <w:rPr>
          <w:rFonts w:hint="eastAsia"/>
        </w:rPr>
      </w:pPr>
      <w:r>
        <w:rPr>
          <w:rFonts w:hint="eastAsia"/>
        </w:rPr>
        <w:t>分析维度选择：支持切换分析视角（如示例中的「日走势分析」），可按需选择「日走势分析」、「</w:t>
      </w:r>
      <w:r>
        <w:rPr>
          <w:rFonts w:hint="eastAsia"/>
          <w:lang w:val="en-US" w:eastAsia="zh-CN"/>
        </w:rPr>
        <w:t>时段</w:t>
      </w:r>
      <w:r>
        <w:rPr>
          <w:rFonts w:hint="eastAsia"/>
        </w:rPr>
        <w:t>走势分析」、「</w:t>
      </w:r>
      <w:r>
        <w:rPr>
          <w:rFonts w:hint="eastAsia"/>
          <w:lang w:val="en-US" w:eastAsia="zh-CN"/>
        </w:rPr>
        <w:t>分时汇总</w:t>
      </w:r>
      <w:r>
        <w:rPr>
          <w:rFonts w:hint="eastAsia"/>
        </w:rPr>
        <w:t>分析」</w:t>
      </w:r>
      <w:r>
        <w:rPr>
          <w:rFonts w:hint="eastAsia"/>
          <w:lang w:eastAsia="zh-CN"/>
        </w:rPr>
        <w:t>、</w:t>
      </w:r>
      <w:r>
        <w:rPr>
          <w:rFonts w:hint="eastAsia"/>
        </w:rPr>
        <w:t>「</w:t>
      </w:r>
      <w:r>
        <w:rPr>
          <w:rFonts w:hint="eastAsia"/>
          <w:lang w:val="en-US" w:eastAsia="zh-CN"/>
        </w:rPr>
        <w:t>星期汇总</w:t>
      </w:r>
      <w:r>
        <w:rPr>
          <w:rFonts w:hint="eastAsia"/>
        </w:rPr>
        <w:t>分析」等不同维度的趋势分析。</w:t>
      </w:r>
    </w:p>
    <w:p w14:paraId="7C77B267">
      <w:pPr>
        <w:spacing w:before="120" w:after="120" w:line="288" w:lineRule="auto"/>
        <w:ind w:left="0"/>
        <w:jc w:val="left"/>
        <w:rPr>
          <w:rFonts w:hint="eastAsia"/>
        </w:rPr>
      </w:pPr>
      <w:r>
        <w:rPr>
          <w:rFonts w:hint="eastAsia"/>
        </w:rPr>
        <w:t>分析指标选择：可选择需要评估的核心指标（</w:t>
      </w:r>
      <w:r>
        <w:rPr>
          <w:rFonts w:ascii="Segoe UI" w:hAnsi="Segoe UI" w:eastAsia="Segoe UI" w:cs="Segoe UI"/>
          <w:i w:val="0"/>
          <w:iCs w:val="0"/>
          <w:caps w:val="0"/>
          <w:color w:val="3879FC"/>
          <w:spacing w:val="0"/>
          <w:sz w:val="21"/>
          <w:szCs w:val="21"/>
          <w:shd w:val="clear" w:fill="FFFFFF"/>
        </w:rPr>
        <w:t>价差方向预测</w:t>
      </w:r>
      <w:r>
        <w:rPr>
          <w:rFonts w:hint="eastAsia"/>
          <w:lang w:val="en-US" w:eastAsia="zh-CN"/>
        </w:rPr>
        <w:t>和</w:t>
      </w:r>
      <w:r>
        <w:rPr>
          <w:rFonts w:ascii="Segoe UI" w:hAnsi="Segoe UI" w:eastAsia="Segoe UI" w:cs="Segoe UI"/>
          <w:i w:val="0"/>
          <w:iCs w:val="0"/>
          <w:caps w:val="0"/>
          <w:color w:val="3879FC"/>
          <w:spacing w:val="0"/>
          <w:sz w:val="21"/>
          <w:szCs w:val="21"/>
          <w:shd w:val="clear" w:fill="FFFFFF"/>
        </w:rPr>
        <w:t>负荷预测</w:t>
      </w:r>
      <w:r>
        <w:rPr>
          <w:rFonts w:hint="eastAsia" w:ascii="Segoe UI" w:hAnsi="Segoe UI" w:eastAsia="宋体" w:cs="Segoe UI"/>
          <w:i w:val="0"/>
          <w:iCs w:val="0"/>
          <w:caps w:val="0"/>
          <w:spacing w:val="0"/>
          <w:sz w:val="21"/>
          <w:szCs w:val="21"/>
          <w:shd w:val="clear" w:fill="FFFFFF"/>
          <w:lang w:val="en-US" w:eastAsia="zh-CN"/>
        </w:rPr>
        <w:t>的下拉菜单为</w:t>
      </w:r>
      <w:r>
        <w:rPr>
          <w:rFonts w:hint="eastAsia"/>
        </w:rPr>
        <w:t>「准确率」</w:t>
      </w:r>
      <w:r>
        <w:rPr>
          <w:rFonts w:hint="eastAsia"/>
          <w:lang w:eastAsia="zh-CN"/>
        </w:rPr>
        <w:t>、</w:t>
      </w:r>
      <w:r>
        <w:rPr>
          <w:rFonts w:hint="eastAsia"/>
        </w:rPr>
        <w:t>「度电盈亏」</w:t>
      </w:r>
      <w:r>
        <w:rPr>
          <w:rFonts w:hint="eastAsia"/>
          <w:lang w:eastAsia="zh-CN"/>
        </w:rPr>
        <w:t>，</w:t>
      </w:r>
      <w:r>
        <w:rPr>
          <w:rFonts w:hint="eastAsia"/>
          <w:lang w:val="en-US" w:eastAsia="zh-CN"/>
        </w:rPr>
        <w:t>其余</w:t>
      </w:r>
      <w:r>
        <w:rPr>
          <w:rFonts w:hint="eastAsia"/>
        </w:rPr>
        <w:t>预测</w:t>
      </w:r>
      <w:r>
        <w:rPr>
          <w:rFonts w:hint="eastAsia"/>
          <w:lang w:val="en-US" w:eastAsia="zh-CN"/>
        </w:rPr>
        <w:t>Tab</w:t>
      </w:r>
      <w:r>
        <w:rPr>
          <w:rFonts w:hint="eastAsia"/>
        </w:rPr>
        <w:t>标签</w:t>
      </w:r>
      <w:r>
        <w:rPr>
          <w:rFonts w:hint="eastAsia"/>
          <w:lang w:val="en-US" w:eastAsia="zh-CN"/>
        </w:rPr>
        <w:t>的下拉菜单均为</w:t>
      </w:r>
      <w:r>
        <w:rPr>
          <w:rFonts w:hint="eastAsia"/>
        </w:rPr>
        <w:t>「准确率」）</w:t>
      </w:r>
    </w:p>
    <w:p w14:paraId="5E08CBF5">
      <w:pPr>
        <w:spacing w:before="120" w:after="120" w:line="288" w:lineRule="auto"/>
        <w:ind w:left="0"/>
        <w:jc w:val="left"/>
        <w:rPr>
          <w:rFonts w:hint="default" w:eastAsiaTheme="minorEastAsia"/>
          <w:lang w:val="en-US" w:eastAsia="zh-CN"/>
        </w:rPr>
      </w:pPr>
      <w:r>
        <w:rPr>
          <w:rFonts w:hint="eastAsia"/>
        </w:rPr>
        <w:t>预测提前日选择：可设置预测提前天数（如示例中的「提前 1 天」</w:t>
      </w:r>
      <w:r>
        <w:rPr>
          <w:rFonts w:hint="eastAsia"/>
          <w:lang w:eastAsia="zh-CN"/>
        </w:rPr>
        <w:t>，</w:t>
      </w:r>
      <w:r>
        <w:rPr>
          <w:rFonts w:hint="eastAsia"/>
          <w:lang w:val="en-US" w:eastAsia="zh-CN"/>
        </w:rPr>
        <w:t>最多</w:t>
      </w:r>
      <w:r>
        <w:rPr>
          <w:rFonts w:hint="eastAsia"/>
        </w:rPr>
        <w:t>「</w:t>
      </w:r>
      <w:r>
        <w:rPr>
          <w:rFonts w:hint="eastAsia"/>
          <w:lang w:val="en-US" w:eastAsia="zh-CN"/>
        </w:rPr>
        <w:t>提前5天</w:t>
      </w:r>
      <w:r>
        <w:rPr>
          <w:rFonts w:hint="eastAsia"/>
        </w:rPr>
        <w:t>」），评估不同提前量下的模型预测效果。</w:t>
      </w:r>
    </w:p>
    <w:p w14:paraId="5909C57E">
      <w:pPr>
        <w:spacing w:before="120" w:after="120" w:line="288" w:lineRule="auto"/>
        <w:ind w:left="0"/>
        <w:jc w:val="left"/>
        <w:rPr>
          <w:rFonts w:hint="eastAsia"/>
        </w:rPr>
      </w:pPr>
      <w:r>
        <w:rPr>
          <w:rFonts w:hint="eastAsia"/>
        </w:rPr>
        <w:t>「查询」按钮：参数设置完成后，点击加载对应模型的复盘数据。</w:t>
      </w:r>
    </w:p>
    <w:p w14:paraId="741B351C">
      <w:pPr>
        <w:spacing w:before="120" w:after="120" w:line="288" w:lineRule="auto"/>
        <w:ind w:left="0"/>
        <w:jc w:val="left"/>
        <w:rPr>
          <w:rFonts w:hint="eastAsia"/>
        </w:rPr>
      </w:pPr>
      <w:r>
        <w:rPr>
          <w:rFonts w:hint="eastAsia"/>
        </w:rPr>
        <w:t>「重置」按钮：点击清空所有查询条件，恢复到系统默认状态，便于重新设置分析参数。</w:t>
      </w:r>
    </w:p>
    <w:p w14:paraId="71302C3D">
      <w:pPr>
        <w:spacing w:before="120" w:after="120" w:line="288" w:lineRule="auto"/>
        <w:ind w:left="0"/>
        <w:jc w:val="left"/>
        <w:rPr>
          <w:rFonts w:hint="eastAsia"/>
        </w:rPr>
      </w:pPr>
      <w:r>
        <w:drawing>
          <wp:inline distT="0" distB="0" distL="114300" distR="114300">
            <wp:extent cx="5266690" cy="913765"/>
            <wp:effectExtent l="0" t="0" r="10160" b="635"/>
            <wp:docPr id="1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
                    <pic:cNvPicPr>
                      <a:picLocks noChangeAspect="1"/>
                    </pic:cNvPicPr>
                  </pic:nvPicPr>
                  <pic:blipFill>
                    <a:blip r:embed="rId64"/>
                    <a:stretch>
                      <a:fillRect/>
                    </a:stretch>
                  </pic:blipFill>
                  <pic:spPr>
                    <a:xfrm>
                      <a:off x="0" y="0"/>
                      <a:ext cx="5266690" cy="913765"/>
                    </a:xfrm>
                    <a:prstGeom prst="rect">
                      <a:avLst/>
                    </a:prstGeom>
                    <a:noFill/>
                    <a:ln>
                      <a:noFill/>
                    </a:ln>
                  </pic:spPr>
                </pic:pic>
              </a:graphicData>
            </a:graphic>
          </wp:inline>
        </w:drawing>
      </w:r>
    </w:p>
    <w:p w14:paraId="335552CD">
      <w:pPr>
        <w:spacing w:before="120" w:after="120" w:line="288" w:lineRule="auto"/>
        <w:ind w:left="0"/>
        <w:jc w:val="left"/>
        <w:rPr>
          <w:rFonts w:hint="eastAsia"/>
        </w:rPr>
      </w:pPr>
      <w:r>
        <w:rPr>
          <w:rFonts w:hint="eastAsia"/>
        </w:rPr>
        <w:t>2. 核心数据展示区</w:t>
      </w:r>
    </w:p>
    <w:p w14:paraId="179EA108">
      <w:pPr>
        <w:spacing w:before="120" w:after="120" w:line="288" w:lineRule="auto"/>
        <w:ind w:left="0"/>
        <w:jc w:val="left"/>
        <w:rPr>
          <w:rFonts w:hint="default" w:eastAsiaTheme="minorEastAsia"/>
          <w:b/>
          <w:bCs/>
          <w:lang w:val="en-US" w:eastAsia="zh-CN"/>
        </w:rPr>
      </w:pPr>
      <w:r>
        <w:rPr>
          <w:rFonts w:hint="eastAsia"/>
          <w:b/>
          <w:bCs/>
          <w:lang w:val="en-US" w:eastAsia="zh-CN"/>
        </w:rPr>
        <w:t>所有</w:t>
      </w:r>
      <w:r>
        <w:rPr>
          <w:rFonts w:hint="eastAsia"/>
          <w:b/>
          <w:bCs/>
        </w:rPr>
        <w:t>预测</w:t>
      </w:r>
      <w:r>
        <w:rPr>
          <w:rFonts w:hint="eastAsia"/>
          <w:b/>
          <w:bCs/>
          <w:lang w:val="en-US" w:eastAsia="zh-CN"/>
        </w:rPr>
        <w:t>Tab</w:t>
      </w:r>
      <w:r>
        <w:rPr>
          <w:rFonts w:hint="eastAsia"/>
          <w:b/>
          <w:bCs/>
        </w:rPr>
        <w:t>标签</w:t>
      </w:r>
      <w:r>
        <w:rPr>
          <w:rFonts w:hint="eastAsia"/>
          <w:b/>
          <w:bCs/>
          <w:lang w:val="en-US" w:eastAsia="zh-CN"/>
        </w:rPr>
        <w:t>均有</w:t>
      </w:r>
      <w:r>
        <w:rPr>
          <w:rFonts w:hint="eastAsia"/>
          <w:b/>
          <w:bCs/>
        </w:rPr>
        <w:t>准确率趋势图</w:t>
      </w:r>
      <w:r>
        <w:rPr>
          <w:rFonts w:hint="eastAsia"/>
          <w:b/>
          <w:bCs/>
          <w:lang w:eastAsia="zh-CN"/>
        </w:rPr>
        <w:t>，</w:t>
      </w:r>
      <w:r>
        <w:rPr>
          <w:rFonts w:hint="eastAsia"/>
          <w:b/>
          <w:bCs/>
          <w:lang w:val="en-US" w:eastAsia="zh-CN"/>
        </w:rPr>
        <w:t>只有</w:t>
      </w:r>
      <w:r>
        <w:rPr>
          <w:rFonts w:ascii="Segoe UI" w:hAnsi="Segoe UI" w:eastAsia="Segoe UI" w:cs="Segoe UI"/>
          <w:b/>
          <w:bCs/>
          <w:i w:val="0"/>
          <w:iCs w:val="0"/>
          <w:caps w:val="0"/>
          <w:color w:val="3879FC"/>
          <w:spacing w:val="0"/>
          <w:sz w:val="21"/>
          <w:szCs w:val="21"/>
          <w:shd w:val="clear" w:fill="FFFFFF"/>
        </w:rPr>
        <w:t>价差方向预测</w:t>
      </w:r>
      <w:r>
        <w:rPr>
          <w:rFonts w:hint="eastAsia"/>
          <w:b/>
          <w:bCs/>
          <w:lang w:val="en-US" w:eastAsia="zh-CN"/>
        </w:rPr>
        <w:t>和</w:t>
      </w:r>
      <w:r>
        <w:rPr>
          <w:rFonts w:ascii="Segoe UI" w:hAnsi="Segoe UI" w:eastAsia="Segoe UI" w:cs="Segoe UI"/>
          <w:b/>
          <w:bCs/>
          <w:i w:val="0"/>
          <w:iCs w:val="0"/>
          <w:caps w:val="0"/>
          <w:color w:val="3879FC"/>
          <w:spacing w:val="0"/>
          <w:sz w:val="21"/>
          <w:szCs w:val="21"/>
          <w:shd w:val="clear" w:fill="FFFFFF"/>
        </w:rPr>
        <w:t>负荷预测</w:t>
      </w:r>
      <w:r>
        <w:rPr>
          <w:rFonts w:hint="eastAsia" w:ascii="Segoe UI" w:hAnsi="Segoe UI" w:eastAsia="宋体" w:cs="Segoe UI"/>
          <w:b/>
          <w:bCs/>
          <w:i w:val="0"/>
          <w:iCs w:val="0"/>
          <w:caps w:val="0"/>
          <w:color w:val="auto"/>
          <w:spacing w:val="0"/>
          <w:sz w:val="21"/>
          <w:szCs w:val="21"/>
          <w:shd w:val="clear" w:fill="FFFFFF"/>
          <w:lang w:val="en-US" w:eastAsia="zh-CN"/>
        </w:rPr>
        <w:t>额外展示了</w:t>
      </w:r>
      <w:r>
        <w:rPr>
          <w:rFonts w:hint="eastAsia"/>
          <w:b/>
          <w:bCs/>
        </w:rPr>
        <w:t>「度电盈亏</w:t>
      </w:r>
      <w:r>
        <w:rPr>
          <w:rFonts w:hint="eastAsia"/>
          <w:b/>
          <w:bCs/>
          <w:lang w:val="en-US" w:eastAsia="zh-CN"/>
        </w:rPr>
        <w:t>趋势</w:t>
      </w:r>
      <w:r>
        <w:rPr>
          <w:rFonts w:hint="eastAsia"/>
          <w:b/>
          <w:bCs/>
        </w:rPr>
        <w:t>」</w:t>
      </w:r>
      <w:r>
        <w:rPr>
          <w:rFonts w:hint="eastAsia"/>
          <w:b/>
          <w:bCs/>
          <w:lang w:val="en-US" w:eastAsia="zh-CN"/>
        </w:rPr>
        <w:t>图</w:t>
      </w:r>
    </w:p>
    <w:p w14:paraId="0E7C6ED7">
      <w:pPr>
        <w:spacing w:before="120" w:after="120" w:line="288" w:lineRule="auto"/>
        <w:ind w:left="0"/>
        <w:jc w:val="left"/>
        <w:rPr>
          <w:rFonts w:hint="default" w:eastAsia="宋体"/>
          <w:lang w:val="en-US" w:eastAsia="zh-CN"/>
        </w:rPr>
      </w:pPr>
      <w:r>
        <w:rPr>
          <w:rFonts w:hint="eastAsia"/>
          <w:b/>
          <w:bCs/>
          <w:lang w:val="en-US" w:eastAsia="zh-CN"/>
        </w:rPr>
        <w:t>检索操作</w:t>
      </w:r>
      <w:r>
        <w:rPr>
          <w:rFonts w:hint="eastAsia"/>
          <w:lang w:val="en-US" w:eastAsia="zh-CN"/>
        </w:rPr>
        <w:t>：</w:t>
      </w:r>
      <w:r>
        <w:rPr>
          <w:rFonts w:ascii="Segoe UI" w:hAnsi="Segoe UI" w:eastAsia="Segoe UI" w:cs="Segoe UI"/>
          <w:b/>
          <w:bCs/>
          <w:i w:val="0"/>
          <w:iCs w:val="0"/>
          <w:caps w:val="0"/>
          <w:spacing w:val="0"/>
          <w:sz w:val="21"/>
          <w:szCs w:val="21"/>
          <w:shd w:val="clear" w:fill="FFFFFF"/>
        </w:rPr>
        <w:t>分析指标</w:t>
      </w:r>
      <w:r>
        <w:rPr>
          <w:rFonts w:hint="eastAsia" w:ascii="Segoe UI" w:hAnsi="Segoe UI" w:eastAsia="宋体" w:cs="Segoe UI"/>
          <w:i w:val="0"/>
          <w:iCs w:val="0"/>
          <w:caps w:val="0"/>
          <w:spacing w:val="0"/>
          <w:sz w:val="21"/>
          <w:szCs w:val="21"/>
          <w:shd w:val="clear" w:fill="FFFFFF"/>
          <w:lang w:val="en-US" w:eastAsia="zh-CN"/>
        </w:rPr>
        <w:t>选择准确率/度电收益下拉菜单，其他检索条件按需选择，点击“查询”按钮</w:t>
      </w:r>
    </w:p>
    <w:p w14:paraId="58B1FA54">
      <w:pPr>
        <w:spacing w:before="120" w:after="120" w:line="288" w:lineRule="auto"/>
        <w:ind w:left="0"/>
        <w:jc w:val="left"/>
        <w:rPr>
          <w:rFonts w:hint="eastAsia"/>
        </w:rPr>
      </w:pPr>
      <w:r>
        <w:rPr>
          <w:rFonts w:hint="eastAsia"/>
          <w:b/>
          <w:bCs/>
          <w:lang w:val="en-US" w:eastAsia="zh-CN"/>
        </w:rPr>
        <w:t>图表展示</w:t>
      </w:r>
      <w:r>
        <w:rPr>
          <w:rFonts w:hint="eastAsia"/>
          <w:lang w:val="en-US" w:eastAsia="zh-CN"/>
        </w:rPr>
        <w:t>：</w:t>
      </w:r>
    </w:p>
    <w:p w14:paraId="278246C8">
      <w:pPr>
        <w:numPr>
          <w:ilvl w:val="0"/>
          <w:numId w:val="2"/>
        </w:numPr>
        <w:spacing w:before="120" w:after="120" w:line="288" w:lineRule="auto"/>
        <w:ind w:left="0"/>
        <w:jc w:val="left"/>
        <w:rPr>
          <w:rFonts w:hint="eastAsia"/>
        </w:rPr>
      </w:pPr>
      <w:r>
        <w:rPr>
          <w:rFonts w:hint="eastAsia"/>
        </w:rPr>
        <w:t>准确率趋势图</w:t>
      </w:r>
      <w:r>
        <w:rPr>
          <w:rFonts w:hint="eastAsia"/>
          <w:lang w:val="en-US" w:eastAsia="zh-CN"/>
        </w:rPr>
        <w:t>/度电盈亏</w:t>
      </w:r>
      <w:r>
        <w:rPr>
          <w:rFonts w:hint="eastAsia"/>
        </w:rPr>
        <w:t>趋势图</w:t>
      </w:r>
    </w:p>
    <w:p w14:paraId="3ECD5CA0">
      <w:pPr>
        <w:numPr>
          <w:ilvl w:val="0"/>
          <w:numId w:val="0"/>
        </w:numPr>
        <w:spacing w:before="120" w:after="120" w:line="288" w:lineRule="auto"/>
        <w:jc w:val="left"/>
        <w:rPr>
          <w:rFonts w:hint="eastAsia"/>
        </w:rPr>
      </w:pPr>
      <w:r>
        <w:rPr>
          <w:rFonts w:hint="eastAsia"/>
        </w:rPr>
        <w:t>以折线图形式，展示所选时段内不同算法模型（太乙-历史价差和、太乙-相似日、太乙-历史价差率等）的准确率</w:t>
      </w:r>
      <w:r>
        <w:rPr>
          <w:rFonts w:hint="eastAsia"/>
          <w:lang w:val="en-US" w:eastAsia="zh-CN"/>
        </w:rPr>
        <w:t>/度电盈亏</w:t>
      </w:r>
      <w:r>
        <w:rPr>
          <w:rFonts w:hint="eastAsia"/>
        </w:rPr>
        <w:t>变化趋势。可直观对比不同模型的准确率波动情况，识别模型在不同日期的表现差异与稳定性。</w:t>
      </w:r>
    </w:p>
    <w:p w14:paraId="72A16449">
      <w:pPr>
        <w:numPr>
          <w:ilvl w:val="0"/>
          <w:numId w:val="0"/>
        </w:numPr>
        <w:spacing w:before="120" w:after="120" w:line="288" w:lineRule="auto"/>
        <w:jc w:val="left"/>
        <w:rPr>
          <w:rFonts w:hint="eastAsia"/>
        </w:rPr>
      </w:pPr>
      <w:r>
        <w:drawing>
          <wp:inline distT="0" distB="0" distL="114300" distR="114300">
            <wp:extent cx="5265420" cy="3392805"/>
            <wp:effectExtent l="0" t="0" r="11430" b="17145"/>
            <wp:docPr id="2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5"/>
                    <pic:cNvPicPr>
                      <a:picLocks noChangeAspect="1"/>
                    </pic:cNvPicPr>
                  </pic:nvPicPr>
                  <pic:blipFill>
                    <a:blip r:embed="rId65"/>
                    <a:stretch>
                      <a:fillRect/>
                    </a:stretch>
                  </pic:blipFill>
                  <pic:spPr>
                    <a:xfrm>
                      <a:off x="0" y="0"/>
                      <a:ext cx="5265420" cy="3392805"/>
                    </a:xfrm>
                    <a:prstGeom prst="rect">
                      <a:avLst/>
                    </a:prstGeom>
                    <a:noFill/>
                    <a:ln>
                      <a:noFill/>
                    </a:ln>
                  </pic:spPr>
                </pic:pic>
              </a:graphicData>
            </a:graphic>
          </wp:inline>
        </w:drawing>
      </w:r>
    </w:p>
    <w:p w14:paraId="08F95F2E">
      <w:pPr>
        <w:numPr>
          <w:ilvl w:val="0"/>
          <w:numId w:val="0"/>
        </w:numPr>
        <w:spacing w:before="120" w:after="120" w:line="288" w:lineRule="auto"/>
        <w:jc w:val="left"/>
        <w:rPr>
          <w:rFonts w:hint="eastAsia"/>
        </w:rPr>
      </w:pPr>
      <w:r>
        <w:drawing>
          <wp:inline distT="0" distB="0" distL="114300" distR="114300">
            <wp:extent cx="5263515" cy="2961640"/>
            <wp:effectExtent l="0" t="0" r="13335" b="10160"/>
            <wp:docPr id="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4"/>
                    <pic:cNvPicPr>
                      <a:picLocks noChangeAspect="1"/>
                    </pic:cNvPicPr>
                  </pic:nvPicPr>
                  <pic:blipFill>
                    <a:blip r:embed="rId66"/>
                    <a:stretch>
                      <a:fillRect/>
                    </a:stretch>
                  </pic:blipFill>
                  <pic:spPr>
                    <a:xfrm>
                      <a:off x="0" y="0"/>
                      <a:ext cx="5263515" cy="2961640"/>
                    </a:xfrm>
                    <a:prstGeom prst="rect">
                      <a:avLst/>
                    </a:prstGeom>
                    <a:noFill/>
                    <a:ln>
                      <a:noFill/>
                    </a:ln>
                  </pic:spPr>
                </pic:pic>
              </a:graphicData>
            </a:graphic>
          </wp:inline>
        </w:drawing>
      </w:r>
    </w:p>
    <w:p w14:paraId="27A08E2E">
      <w:pPr>
        <w:spacing w:before="120" w:after="120" w:line="288" w:lineRule="auto"/>
        <w:ind w:left="0"/>
        <w:jc w:val="left"/>
        <w:rPr>
          <w:rFonts w:hint="eastAsia"/>
        </w:rPr>
      </w:pPr>
      <w:r>
        <w:rPr>
          <w:rFonts w:hint="eastAsia"/>
        </w:rPr>
        <w:t>（2）准确率排名表</w:t>
      </w:r>
    </w:p>
    <w:p w14:paraId="4B76FA75">
      <w:pPr>
        <w:spacing w:before="120" w:after="120" w:line="288" w:lineRule="auto"/>
        <w:ind w:left="0"/>
        <w:jc w:val="left"/>
        <w:rPr>
          <w:rFonts w:hint="eastAsia"/>
        </w:rPr>
      </w:pPr>
      <w:r>
        <w:rPr>
          <w:rFonts w:hint="eastAsia"/>
        </w:rPr>
        <w:t>按准确率高低对模型进行排名，同时展示各模型的准确率与波动性指标（如示例中太乙 - 相似日模型准确率 58.3%、波动性 60.0%）。</w:t>
      </w:r>
    </w:p>
    <w:p w14:paraId="01CD968B">
      <w:pPr>
        <w:spacing w:before="120" w:after="120" w:line="288" w:lineRule="auto"/>
        <w:ind w:left="0"/>
        <w:jc w:val="left"/>
        <w:rPr>
          <w:rFonts w:hint="eastAsia"/>
        </w:rPr>
      </w:pPr>
      <w:r>
        <w:drawing>
          <wp:inline distT="0" distB="0" distL="114300" distR="114300">
            <wp:extent cx="5273040" cy="2343150"/>
            <wp:effectExtent l="0" t="0" r="3810" b="0"/>
            <wp:docPr id="2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6"/>
                    <pic:cNvPicPr>
                      <a:picLocks noChangeAspect="1"/>
                    </pic:cNvPicPr>
                  </pic:nvPicPr>
                  <pic:blipFill>
                    <a:blip r:embed="rId67"/>
                    <a:stretch>
                      <a:fillRect/>
                    </a:stretch>
                  </pic:blipFill>
                  <pic:spPr>
                    <a:xfrm>
                      <a:off x="0" y="0"/>
                      <a:ext cx="5273040" cy="2343150"/>
                    </a:xfrm>
                    <a:prstGeom prst="rect">
                      <a:avLst/>
                    </a:prstGeom>
                    <a:noFill/>
                    <a:ln>
                      <a:noFill/>
                    </a:ln>
                  </pic:spPr>
                </pic:pic>
              </a:graphicData>
            </a:graphic>
          </wp:inline>
        </w:drawing>
      </w:r>
    </w:p>
    <w:p w14:paraId="04D4E31E">
      <w:pPr>
        <w:spacing w:before="300" w:after="120" w:line="288" w:lineRule="auto"/>
        <w:ind w:left="0"/>
        <w:jc w:val="left"/>
        <w:outlineLvl w:val="2"/>
        <w:rPr>
          <w:rFonts w:hint="eastAsia" w:ascii="Arial" w:hAnsi="Arial" w:eastAsia="等线" w:cs="Arial"/>
          <w:b/>
          <w:sz w:val="30"/>
          <w:lang w:eastAsia="zh-CN"/>
        </w:rPr>
      </w:pPr>
      <w:bookmarkStart w:id="21" w:name="heading_194"/>
      <w:r>
        <w:rPr>
          <w:rFonts w:hint="eastAsia" w:ascii="Arial" w:hAnsi="Arial" w:eastAsia="等线" w:cs="Arial"/>
          <w:b/>
          <w:sz w:val="30"/>
          <w:szCs w:val="30"/>
          <w:lang w:val="en-US" w:eastAsia="zh-CN"/>
        </w:rPr>
        <w:t>5</w:t>
      </w:r>
      <w:r>
        <w:rPr>
          <w:rFonts w:ascii="Arial" w:hAnsi="Arial" w:eastAsia="等线" w:cs="Arial"/>
          <w:b/>
          <w:sz w:val="30"/>
          <w:szCs w:val="30"/>
        </w:rPr>
        <w:t>.</w:t>
      </w:r>
      <w:r>
        <w:rPr>
          <w:rFonts w:hint="eastAsia" w:ascii="Arial" w:hAnsi="Arial" w:eastAsia="等线" w:cs="Arial"/>
          <w:b/>
          <w:sz w:val="30"/>
          <w:szCs w:val="30"/>
          <w:lang w:val="en-US" w:eastAsia="zh-CN"/>
        </w:rPr>
        <w:t>2</w:t>
      </w:r>
      <w:r>
        <w:rPr>
          <w:rFonts w:ascii="Arial" w:hAnsi="Arial" w:eastAsia="等线" w:cs="Arial"/>
          <w:b/>
          <w:sz w:val="30"/>
          <w:szCs w:val="30"/>
        </w:rPr>
        <w:t>现货交易复盘</w:t>
      </w:r>
      <w:bookmarkEnd w:id="21"/>
    </w:p>
    <w:p w14:paraId="1242C857">
      <w:pPr>
        <w:spacing w:before="240" w:after="80" w:line="288" w:lineRule="auto"/>
        <w:outlineLvl w:val="3"/>
      </w:pPr>
      <w:r>
        <w:rPr>
          <w:rFonts w:ascii="Arial" w:hAnsi="Arial" w:eastAsia="等线" w:cs="Arial"/>
          <w:b/>
          <w:sz w:val="26"/>
          <w:szCs w:val="26"/>
        </w:rPr>
        <w:t>模块简介</w:t>
      </w:r>
    </w:p>
    <w:p w14:paraId="59840FC9">
      <w:pPr>
        <w:spacing w:before="120" w:after="120" w:line="288" w:lineRule="auto"/>
        <w:ind w:left="0" w:firstLine="0"/>
        <w:jc w:val="left"/>
        <w:rPr>
          <w:rFonts w:ascii="Arial" w:hAnsi="Arial" w:eastAsia="等线" w:cs="Arial"/>
          <w:sz w:val="22"/>
          <w:lang w:val="en-US" w:eastAsia="zh-CN"/>
        </w:rPr>
      </w:pPr>
      <w:r>
        <w:rPr>
          <w:rFonts w:ascii="Arial" w:hAnsi="Arial" w:eastAsia="等线" w:cs="Arial"/>
          <w:sz w:val="22"/>
          <w:lang w:val="en-US" w:eastAsia="zh-CN"/>
        </w:rPr>
        <w:t>本模块是电力交易业务的现货交易复盘工具，通过对单日现货交易的套利收益、负荷预测、价差与申报情况进行多维度复盘分析，帮助用户评估交易策略的实际表现，识别收益偏差原因</w:t>
      </w:r>
      <w:r>
        <w:rPr>
          <w:rFonts w:hint="eastAsia" w:ascii="Arial" w:hAnsi="Arial" w:eastAsia="等线" w:cs="Arial"/>
          <w:sz w:val="22"/>
          <w:lang w:val="en-US" w:eastAsia="zh-CN"/>
        </w:rPr>
        <w:t>；也可</w:t>
      </w:r>
      <w:r>
        <w:rPr>
          <w:rFonts w:ascii="Arial" w:hAnsi="Arial" w:eastAsia="等线" w:cs="Arial"/>
          <w:sz w:val="22"/>
          <w:lang w:val="en-US" w:eastAsia="zh-CN"/>
        </w:rPr>
        <w:t>通过多日收益趋势、小时级预测准确率、价差热力图等多维度数据，全面评估交易策略在周期内的整体表现</w:t>
      </w:r>
      <w:r>
        <w:rPr>
          <w:rFonts w:hint="eastAsia" w:ascii="Arial" w:hAnsi="Arial" w:eastAsia="等线" w:cs="Arial"/>
          <w:sz w:val="22"/>
          <w:lang w:val="en-US" w:eastAsia="zh-CN"/>
        </w:rPr>
        <w:t>。</w:t>
      </w:r>
      <w:r>
        <w:rPr>
          <w:rFonts w:ascii="Arial" w:hAnsi="Arial" w:eastAsia="等线" w:cs="Arial"/>
          <w:sz w:val="22"/>
          <w:lang w:val="en-US" w:eastAsia="zh-CN"/>
        </w:rPr>
        <w:t>为模型优化与策略迭代提供数据支撑。</w:t>
      </w:r>
    </w:p>
    <w:p w14:paraId="6993631A">
      <w:pPr>
        <w:spacing w:before="120" w:after="120" w:line="288" w:lineRule="auto"/>
        <w:ind w:left="0" w:firstLine="0"/>
        <w:jc w:val="left"/>
        <w:rPr>
          <w:rFonts w:hint="default" w:ascii="Arial" w:hAnsi="Arial" w:eastAsia="等线" w:cs="Arial"/>
          <w:sz w:val="22"/>
          <w:lang w:val="en-US" w:eastAsia="zh-CN"/>
        </w:rPr>
      </w:pPr>
    </w:p>
    <w:p w14:paraId="6C202CAE">
      <w:pPr>
        <w:spacing w:before="240" w:after="80" w:line="288" w:lineRule="auto"/>
        <w:outlineLvl w:val="3"/>
      </w:pPr>
      <w:r>
        <w:rPr>
          <w:rFonts w:ascii="Arial" w:hAnsi="Arial" w:eastAsia="等线" w:cs="Arial"/>
          <w:b/>
          <w:sz w:val="26"/>
          <w:szCs w:val="26"/>
        </w:rPr>
        <w:t>操作说明</w:t>
      </w:r>
    </w:p>
    <w:p w14:paraId="1443CB8B">
      <w:pPr>
        <w:spacing w:before="120" w:after="120" w:line="288" w:lineRule="auto"/>
        <w:ind w:left="0" w:firstLine="0"/>
        <w:jc w:val="left"/>
        <w:rPr>
          <w:rFonts w:ascii="Arial" w:hAnsi="Arial" w:eastAsia="等线" w:cs="Arial"/>
          <w:sz w:val="22"/>
        </w:rPr>
      </w:pPr>
      <w:r>
        <w:rPr>
          <w:rFonts w:ascii="Arial" w:hAnsi="Arial" w:eastAsia="等线" w:cs="Arial"/>
          <w:sz w:val="22"/>
        </w:rPr>
        <w:t xml:space="preserve">1. </w:t>
      </w:r>
      <w:r>
        <w:rPr>
          <w:rFonts w:hint="eastAsia" w:ascii="Arial" w:hAnsi="Arial" w:eastAsia="等线" w:cs="Arial"/>
          <w:sz w:val="22"/>
          <w:lang w:val="en-US" w:eastAsia="zh-CN"/>
        </w:rPr>
        <w:t>单日复盘分析--</w:t>
      </w:r>
      <w:r>
        <w:rPr>
          <w:rFonts w:ascii="Arial" w:hAnsi="Arial" w:eastAsia="等线" w:cs="Arial"/>
          <w:sz w:val="22"/>
        </w:rPr>
        <w:t>查询与操作区</w:t>
      </w:r>
    </w:p>
    <w:p w14:paraId="0E750F3B">
      <w:pPr>
        <w:spacing w:before="120" w:after="120" w:line="288" w:lineRule="auto"/>
        <w:ind w:left="0" w:firstLine="0"/>
        <w:jc w:val="left"/>
        <w:rPr>
          <w:rFonts w:ascii="Arial" w:hAnsi="Arial" w:eastAsia="等线" w:cs="Arial"/>
          <w:sz w:val="22"/>
        </w:rPr>
      </w:pPr>
      <w:r>
        <w:rPr>
          <w:rFonts w:ascii="Arial" w:hAnsi="Arial" w:eastAsia="等线" w:cs="Arial"/>
          <w:sz w:val="22"/>
        </w:rPr>
        <w:t>日期选择：可自定义复盘分析的目标日期（如示例中的 2026-06-12），确定复盘的具体交易日。</w:t>
      </w:r>
    </w:p>
    <w:p w14:paraId="70F5D426">
      <w:pPr>
        <w:spacing w:before="120" w:after="120" w:line="288" w:lineRule="auto"/>
        <w:ind w:left="0" w:firstLine="0"/>
        <w:jc w:val="left"/>
        <w:rPr>
          <w:rFonts w:ascii="Arial" w:hAnsi="Arial" w:eastAsia="等线" w:cs="Arial"/>
          <w:sz w:val="22"/>
        </w:rPr>
      </w:pPr>
      <w:r>
        <w:rPr>
          <w:rFonts w:ascii="Arial" w:hAnsi="Arial" w:eastAsia="等线" w:cs="Arial"/>
          <w:sz w:val="22"/>
        </w:rPr>
        <w:t>模型与参数设置：</w:t>
      </w:r>
    </w:p>
    <w:p w14:paraId="339CF2DE">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68AE567C">
      <w:pPr>
        <w:spacing w:before="120" w:after="120" w:line="288" w:lineRule="auto"/>
        <w:ind w:left="0" w:firstLine="0"/>
        <w:jc w:val="left"/>
        <w:rPr>
          <w:rFonts w:ascii="Arial" w:hAnsi="Arial" w:eastAsia="等线" w:cs="Arial"/>
          <w:sz w:val="22"/>
        </w:rPr>
      </w:pPr>
      <w:r>
        <w:drawing>
          <wp:inline distT="0" distB="0" distL="114300" distR="114300">
            <wp:extent cx="5264150" cy="1767205"/>
            <wp:effectExtent l="0" t="0" r="12700" b="4445"/>
            <wp:docPr id="2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4"/>
                    <pic:cNvPicPr>
                      <a:picLocks noChangeAspect="1"/>
                    </pic:cNvPicPr>
                  </pic:nvPicPr>
                  <pic:blipFill>
                    <a:blip r:embed="rId68"/>
                    <a:stretch>
                      <a:fillRect/>
                    </a:stretch>
                  </pic:blipFill>
                  <pic:spPr>
                    <a:xfrm>
                      <a:off x="0" y="0"/>
                      <a:ext cx="5264150" cy="1767205"/>
                    </a:xfrm>
                    <a:prstGeom prst="rect">
                      <a:avLst/>
                    </a:prstGeom>
                    <a:noFill/>
                    <a:ln>
                      <a:noFill/>
                    </a:ln>
                  </pic:spPr>
                </pic:pic>
              </a:graphicData>
            </a:graphic>
          </wp:inline>
        </w:drawing>
      </w:r>
    </w:p>
    <w:p w14:paraId="1251CF8F">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竞价相似日」）。</w:t>
      </w:r>
    </w:p>
    <w:p w14:paraId="6324CD41">
      <w:pPr>
        <w:spacing w:before="120" w:after="120" w:line="288" w:lineRule="auto"/>
        <w:ind w:left="0" w:firstLine="0"/>
        <w:jc w:val="left"/>
        <w:rPr>
          <w:rFonts w:ascii="Arial" w:hAnsi="Arial" w:eastAsia="等线" w:cs="Arial"/>
          <w:sz w:val="22"/>
        </w:rPr>
      </w:pPr>
      <w:r>
        <w:drawing>
          <wp:inline distT="0" distB="0" distL="114300" distR="114300">
            <wp:extent cx="5262245" cy="1622425"/>
            <wp:effectExtent l="0" t="0" r="14605" b="15875"/>
            <wp:docPr id="2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5"/>
                    <pic:cNvPicPr>
                      <a:picLocks noChangeAspect="1"/>
                    </pic:cNvPicPr>
                  </pic:nvPicPr>
                  <pic:blipFill>
                    <a:blip r:embed="rId69"/>
                    <a:stretch>
                      <a:fillRect/>
                    </a:stretch>
                  </pic:blipFill>
                  <pic:spPr>
                    <a:xfrm>
                      <a:off x="0" y="0"/>
                      <a:ext cx="5262245" cy="1622425"/>
                    </a:xfrm>
                    <a:prstGeom prst="rect">
                      <a:avLst/>
                    </a:prstGeom>
                    <a:noFill/>
                    <a:ln>
                      <a:noFill/>
                    </a:ln>
                  </pic:spPr>
                </pic:pic>
              </a:graphicData>
            </a:graphic>
          </wp:inline>
        </w:drawing>
      </w:r>
    </w:p>
    <w:p w14:paraId="52850A5A">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56463ED3">
      <w:pPr>
        <w:spacing w:before="120" w:after="120" w:line="288" w:lineRule="auto"/>
        <w:ind w:left="0" w:firstLine="0"/>
        <w:jc w:val="left"/>
        <w:rPr>
          <w:rFonts w:ascii="Arial" w:hAnsi="Arial" w:eastAsia="等线" w:cs="Arial"/>
          <w:sz w:val="22"/>
        </w:rPr>
      </w:pPr>
      <w:r>
        <w:drawing>
          <wp:inline distT="0" distB="0" distL="114300" distR="114300">
            <wp:extent cx="5273040" cy="1357630"/>
            <wp:effectExtent l="0" t="0" r="3810" b="13970"/>
            <wp:docPr id="2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6"/>
                    <pic:cNvPicPr>
                      <a:picLocks noChangeAspect="1"/>
                    </pic:cNvPicPr>
                  </pic:nvPicPr>
                  <pic:blipFill>
                    <a:blip r:embed="rId70"/>
                    <a:stretch>
                      <a:fillRect/>
                    </a:stretch>
                  </pic:blipFill>
                  <pic:spPr>
                    <a:xfrm>
                      <a:off x="0" y="0"/>
                      <a:ext cx="5273040" cy="1357630"/>
                    </a:xfrm>
                    <a:prstGeom prst="rect">
                      <a:avLst/>
                    </a:prstGeom>
                    <a:noFill/>
                    <a:ln>
                      <a:noFill/>
                    </a:ln>
                  </pic:spPr>
                </pic:pic>
              </a:graphicData>
            </a:graphic>
          </wp:inline>
        </w:drawing>
      </w:r>
    </w:p>
    <w:p w14:paraId="78FEDDE0">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52FFB237">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「查询」按钮：参数设置完成后，点击加载对应日期的现货交易复盘数据。</w:t>
      </w:r>
    </w:p>
    <w:p w14:paraId="440DF29A">
      <w:pPr>
        <w:spacing w:before="120" w:after="120" w:line="288" w:lineRule="auto"/>
        <w:ind w:left="0" w:firstLine="0"/>
        <w:jc w:val="left"/>
        <w:rPr>
          <w:rFonts w:ascii="Arial" w:hAnsi="Arial" w:eastAsia="等线" w:cs="Arial"/>
          <w:sz w:val="22"/>
        </w:rPr>
      </w:pPr>
      <w:r>
        <w:rPr>
          <w:rFonts w:ascii="Arial" w:hAnsi="Arial" w:eastAsia="等线" w:cs="Arial"/>
          <w:sz w:val="22"/>
        </w:rPr>
        <w:t xml:space="preserve">2. </w:t>
      </w:r>
      <w:r>
        <w:rPr>
          <w:rFonts w:hint="eastAsia" w:ascii="Arial" w:hAnsi="Arial" w:eastAsia="等线" w:cs="Arial"/>
          <w:sz w:val="22"/>
          <w:lang w:val="en-US" w:eastAsia="zh-CN"/>
        </w:rPr>
        <w:t>单日复盘分析--</w:t>
      </w:r>
      <w:r>
        <w:rPr>
          <w:rFonts w:ascii="Arial" w:hAnsi="Arial" w:eastAsia="等线" w:cs="Arial"/>
          <w:sz w:val="22"/>
        </w:rPr>
        <w:t>核心指标概览区</w:t>
      </w:r>
    </w:p>
    <w:p w14:paraId="71720901">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展示当日现货交易的关键结果指标，快速掌握整体交易表现：</w:t>
      </w:r>
    </w:p>
    <w:p w14:paraId="459D7101">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最大可套利收益、策略套利收益、实际套利收益、申报建议方向准确率、负荷预测准确率。</w:t>
      </w:r>
    </w:p>
    <w:p w14:paraId="39B9BAB2">
      <w:pPr>
        <w:spacing w:before="120" w:after="120" w:line="288" w:lineRule="auto"/>
        <w:ind w:left="0" w:firstLine="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lang w:val="en-US" w:eastAsia="zh-CN"/>
        </w:rPr>
        <w:t>单日复盘分析--</w:t>
      </w:r>
      <w:r>
        <w:rPr>
          <w:rFonts w:ascii="Arial" w:hAnsi="Arial" w:eastAsia="等线" w:cs="Arial"/>
          <w:sz w:val="22"/>
        </w:rPr>
        <w:t>复盘分析图表区</w:t>
      </w:r>
    </w:p>
    <w:p w14:paraId="00C83EAD">
      <w:pPr>
        <w:spacing w:before="120" w:after="120" w:line="288" w:lineRule="auto"/>
        <w:ind w:left="0" w:firstLine="0"/>
        <w:jc w:val="left"/>
        <w:rPr>
          <w:rFonts w:hint="eastAsia" w:ascii="Arial" w:hAnsi="Arial" w:eastAsia="等线" w:cs="Arial"/>
          <w:sz w:val="22"/>
          <w:lang w:val="en-US" w:eastAsia="zh-CN"/>
        </w:rPr>
      </w:pPr>
      <w:r>
        <w:rPr>
          <w:rFonts w:ascii="Arial" w:hAnsi="Arial" w:eastAsia="等线" w:cs="Arial"/>
          <w:sz w:val="22"/>
        </w:rPr>
        <w:t>可直观识别收益偏差时段，分析实际收益与理论收益、策略预期收益的差异，定位交易执行或策略偏差的关键节点。</w:t>
      </w:r>
    </w:p>
    <w:p w14:paraId="03CF6187">
      <w:pPr>
        <w:spacing w:before="120" w:after="120" w:line="288" w:lineRule="auto"/>
        <w:ind w:left="0" w:firstLine="0"/>
        <w:jc w:val="left"/>
        <w:rPr>
          <w:rFonts w:ascii="Arial" w:hAnsi="Arial" w:eastAsia="等线" w:cs="Arial"/>
          <w:sz w:val="22"/>
        </w:rPr>
      </w:pPr>
      <w:r>
        <w:rPr>
          <w:rFonts w:ascii="Arial" w:hAnsi="Arial" w:eastAsia="等线" w:cs="Arial"/>
          <w:sz w:val="22"/>
        </w:rPr>
        <w:t>（1）套利收益对比图</w:t>
      </w:r>
    </w:p>
    <w:p w14:paraId="5F42BF4B">
      <w:pPr>
        <w:spacing w:before="120" w:after="120" w:line="288" w:lineRule="auto"/>
        <w:ind w:left="0" w:firstLine="0"/>
        <w:jc w:val="left"/>
      </w:pPr>
      <w:r>
        <w:rPr>
          <w:rFonts w:ascii="Arial" w:hAnsi="Arial" w:eastAsia="等线" w:cs="Arial"/>
          <w:sz w:val="22"/>
        </w:rPr>
        <w:t>以分时折线图形式，对比展示当日不同时段的最大可套利收益、实际套利收益、策略套利收益变化。</w:t>
      </w:r>
      <w:r>
        <w:drawing>
          <wp:inline distT="0" distB="0" distL="114300" distR="114300">
            <wp:extent cx="5267960" cy="1557655"/>
            <wp:effectExtent l="0" t="0" r="8890" b="4445"/>
            <wp:docPr id="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
                    <pic:cNvPicPr>
                      <a:picLocks noChangeAspect="1"/>
                    </pic:cNvPicPr>
                  </pic:nvPicPr>
                  <pic:blipFill>
                    <a:blip r:embed="rId71"/>
                    <a:stretch>
                      <a:fillRect/>
                    </a:stretch>
                  </pic:blipFill>
                  <pic:spPr>
                    <a:xfrm>
                      <a:off x="0" y="0"/>
                      <a:ext cx="5267960" cy="1557655"/>
                    </a:xfrm>
                    <a:prstGeom prst="rect">
                      <a:avLst/>
                    </a:prstGeom>
                    <a:noFill/>
                    <a:ln>
                      <a:noFill/>
                    </a:ln>
                  </pic:spPr>
                </pic:pic>
              </a:graphicData>
            </a:graphic>
          </wp:inline>
        </w:drawing>
      </w:r>
    </w:p>
    <w:p w14:paraId="242A838A">
      <w:pPr>
        <w:spacing w:before="120" w:after="120" w:line="288" w:lineRule="auto"/>
        <w:ind w:left="0" w:firstLine="0"/>
        <w:jc w:val="left"/>
        <w:rPr>
          <w:rFonts w:hint="eastAsia"/>
          <w:lang w:val="en-US" w:eastAsia="zh-CN"/>
        </w:rPr>
      </w:pPr>
      <w:r>
        <w:rPr>
          <w:rFonts w:hint="eastAsia"/>
          <w:lang w:val="en-US" w:eastAsia="zh-CN"/>
        </w:rPr>
        <w:t>点击右上角的表格模式，可切换表格模式</w:t>
      </w:r>
    </w:p>
    <w:p w14:paraId="2FBF91B2">
      <w:pPr>
        <w:spacing w:before="120" w:after="120" w:line="288" w:lineRule="auto"/>
        <w:ind w:left="0" w:firstLine="0"/>
        <w:jc w:val="left"/>
        <w:rPr>
          <w:rFonts w:hint="default"/>
          <w:lang w:val="en-US" w:eastAsia="zh-CN"/>
        </w:rPr>
      </w:pPr>
      <w:r>
        <w:drawing>
          <wp:inline distT="0" distB="0" distL="114300" distR="114300">
            <wp:extent cx="5263515" cy="1561465"/>
            <wp:effectExtent l="0" t="0" r="13335" b="635"/>
            <wp:docPr id="2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3"/>
                    <pic:cNvPicPr>
                      <a:picLocks noChangeAspect="1"/>
                    </pic:cNvPicPr>
                  </pic:nvPicPr>
                  <pic:blipFill>
                    <a:blip r:embed="rId72"/>
                    <a:stretch>
                      <a:fillRect/>
                    </a:stretch>
                  </pic:blipFill>
                  <pic:spPr>
                    <a:xfrm>
                      <a:off x="0" y="0"/>
                      <a:ext cx="5263515" cy="1561465"/>
                    </a:xfrm>
                    <a:prstGeom prst="rect">
                      <a:avLst/>
                    </a:prstGeom>
                    <a:noFill/>
                    <a:ln>
                      <a:noFill/>
                    </a:ln>
                  </pic:spPr>
                </pic:pic>
              </a:graphicData>
            </a:graphic>
          </wp:inline>
        </w:drawing>
      </w:r>
    </w:p>
    <w:p w14:paraId="16D78314">
      <w:pPr>
        <w:spacing w:before="120" w:after="120" w:line="288" w:lineRule="auto"/>
        <w:ind w:left="0" w:firstLine="0"/>
        <w:jc w:val="left"/>
        <w:rPr>
          <w:rFonts w:ascii="Arial" w:hAnsi="Arial" w:eastAsia="等线" w:cs="Arial"/>
          <w:sz w:val="22"/>
        </w:rPr>
      </w:pPr>
      <w:r>
        <w:rPr>
          <w:rFonts w:ascii="Arial" w:hAnsi="Arial" w:eastAsia="等线" w:cs="Arial"/>
          <w:sz w:val="22"/>
        </w:rPr>
        <w:t>（2）负荷预测对比图</w:t>
      </w:r>
    </w:p>
    <w:p w14:paraId="769209ED">
      <w:pPr>
        <w:spacing w:before="120" w:after="120" w:line="288" w:lineRule="auto"/>
        <w:ind w:left="0" w:firstLine="0"/>
        <w:jc w:val="left"/>
        <w:rPr>
          <w:rFonts w:ascii="Arial" w:hAnsi="Arial" w:eastAsia="等线" w:cs="Arial"/>
          <w:sz w:val="22"/>
        </w:rPr>
      </w:pPr>
      <w:r>
        <w:rPr>
          <w:rFonts w:ascii="Arial" w:hAnsi="Arial" w:eastAsia="等线" w:cs="Arial"/>
          <w:sz w:val="22"/>
        </w:rPr>
        <w:t>以分时组合图形式，展示预测负荷电量、预测负荷电量调整后、实际用电量、预测偏差率的变化趋势。</w:t>
      </w:r>
    </w:p>
    <w:p w14:paraId="7F78551F">
      <w:pPr>
        <w:spacing w:before="120" w:after="120" w:line="288" w:lineRule="auto"/>
        <w:ind w:left="0" w:firstLine="0"/>
        <w:jc w:val="left"/>
        <w:rPr>
          <w:rFonts w:ascii="Arial" w:hAnsi="Arial" w:eastAsia="等线" w:cs="Arial"/>
          <w:sz w:val="22"/>
        </w:rPr>
      </w:pPr>
      <w:r>
        <w:rPr>
          <w:rFonts w:ascii="Arial" w:hAnsi="Arial" w:eastAsia="等线" w:cs="Arial"/>
          <w:sz w:val="22"/>
        </w:rPr>
        <w:t>可清晰对比负荷预测与实际用电的偏差情况，评估负荷预测模型的准确性，识别偏差较大的时段。</w:t>
      </w:r>
    </w:p>
    <w:p w14:paraId="5DC8086F">
      <w:pPr>
        <w:spacing w:before="120" w:after="120" w:line="288" w:lineRule="auto"/>
        <w:ind w:left="0" w:firstLine="0"/>
        <w:jc w:val="left"/>
        <w:rPr>
          <w:rFonts w:ascii="Arial" w:hAnsi="Arial" w:eastAsia="等线" w:cs="Arial"/>
          <w:sz w:val="22"/>
        </w:rPr>
      </w:pPr>
      <w:r>
        <w:rPr>
          <w:rFonts w:ascii="Arial" w:hAnsi="Arial" w:eastAsia="等线" w:cs="Arial"/>
          <w:sz w:val="22"/>
        </w:rPr>
        <w:t>负荷预测偏差=（ 负荷预测电量 - 实际用电量 ）➗ 实际用电量</w:t>
      </w:r>
    </w:p>
    <w:p w14:paraId="7B279171">
      <w:pPr>
        <w:spacing w:before="120" w:after="120" w:line="288" w:lineRule="auto"/>
        <w:ind w:left="0" w:firstLine="0"/>
        <w:jc w:val="left"/>
        <w:rPr>
          <w:rFonts w:ascii="Arial" w:hAnsi="Arial" w:eastAsia="等线" w:cs="Arial"/>
          <w:sz w:val="22"/>
        </w:rPr>
      </w:pPr>
      <w:r>
        <w:rPr>
          <w:rFonts w:ascii="Arial" w:hAnsi="Arial" w:eastAsia="等线" w:cs="Arial"/>
          <w:sz w:val="22"/>
        </w:rPr>
        <w:t>（3）价差与申报比例热力矩阵</w:t>
      </w:r>
    </w:p>
    <w:p w14:paraId="6A14A0C6">
      <w:pPr>
        <w:spacing w:before="120" w:after="120" w:line="288" w:lineRule="auto"/>
        <w:ind w:left="0" w:firstLine="0"/>
        <w:jc w:val="left"/>
        <w:rPr>
          <w:rFonts w:ascii="Arial" w:hAnsi="Arial" w:eastAsia="等线" w:cs="Arial"/>
          <w:sz w:val="22"/>
        </w:rPr>
      </w:pPr>
      <w:r>
        <w:rPr>
          <w:rFonts w:ascii="Arial" w:hAnsi="Arial" w:eastAsia="等线" w:cs="Arial"/>
          <w:sz w:val="22"/>
        </w:rPr>
        <w:t>以分时表格形式，展示不同时段的申报电量偏差、实际市场价差、预测市场价差（算法）</w:t>
      </w:r>
      <w:r>
        <w:rPr>
          <w:rFonts w:hint="eastAsia" w:ascii="Arial" w:hAnsi="Arial" w:eastAsia="等线" w:cs="Arial"/>
          <w:sz w:val="22"/>
          <w:lang w:eastAsia="zh-CN"/>
        </w:rPr>
        <w:t>、</w:t>
      </w:r>
      <w:r>
        <w:rPr>
          <w:rFonts w:ascii="Arial" w:hAnsi="Arial" w:eastAsia="等线" w:cs="Arial"/>
          <w:sz w:val="22"/>
        </w:rPr>
        <w:t>预测市场价差（调整后），并标注价差预测的准确性与方向。</w:t>
      </w:r>
    </w:p>
    <w:p w14:paraId="4B15D454">
      <w:pPr>
        <w:spacing w:before="120" w:after="120" w:line="288" w:lineRule="auto"/>
        <w:ind w:left="0" w:firstLine="0"/>
        <w:jc w:val="left"/>
        <w:rPr>
          <w:rFonts w:ascii="Arial" w:hAnsi="Arial" w:eastAsia="等线" w:cs="Arial"/>
          <w:sz w:val="22"/>
        </w:rPr>
      </w:pPr>
      <w:r>
        <w:rPr>
          <w:rFonts w:ascii="Arial" w:hAnsi="Arial" w:eastAsia="等线" w:cs="Arial"/>
          <w:sz w:val="22"/>
        </w:rPr>
        <w:t>可直观呈现申报策略与市场实际价差的匹配情况，分析价差预测对申报决策的影响，为优化申报比例提供参考。</w:t>
      </w:r>
    </w:p>
    <w:p w14:paraId="05191D66">
      <w:pPr>
        <w:spacing w:before="120" w:after="120" w:line="288" w:lineRule="auto"/>
        <w:ind w:left="0" w:firstLine="0"/>
        <w:jc w:val="left"/>
        <w:rPr>
          <w:rFonts w:hint="default" w:ascii="Arial" w:hAnsi="Arial" w:eastAsia="宋体" w:cs="Arial"/>
          <w:sz w:val="22"/>
          <w:lang w:val="en-US" w:eastAsia="zh-CN"/>
        </w:rPr>
      </w:pPr>
      <w:r>
        <w:rPr>
          <w:rFonts w:hint="eastAsia" w:ascii="Arial" w:hAnsi="Arial" w:eastAsia="等线" w:cs="Arial"/>
          <w:sz w:val="22"/>
          <w:lang w:val="en-US" w:eastAsia="zh-CN"/>
        </w:rPr>
        <w:t>鼠标悬浮</w:t>
      </w:r>
      <w:r>
        <w:drawing>
          <wp:inline distT="0" distB="0" distL="114300" distR="114300">
            <wp:extent cx="247650" cy="151130"/>
            <wp:effectExtent l="0" t="0" r="0" b="1270"/>
            <wp:docPr id="2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0"/>
                    <pic:cNvPicPr>
                      <a:picLocks noChangeAspect="1"/>
                    </pic:cNvPicPr>
                  </pic:nvPicPr>
                  <pic:blipFill>
                    <a:blip r:embed="rId73"/>
                    <a:stretch>
                      <a:fillRect/>
                    </a:stretch>
                  </pic:blipFill>
                  <pic:spPr>
                    <a:xfrm>
                      <a:off x="0" y="0"/>
                      <a:ext cx="247650" cy="151130"/>
                    </a:xfrm>
                    <a:prstGeom prst="rect">
                      <a:avLst/>
                    </a:prstGeom>
                    <a:noFill/>
                    <a:ln>
                      <a:noFill/>
                    </a:ln>
                  </pic:spPr>
                </pic:pic>
              </a:graphicData>
            </a:graphic>
          </wp:inline>
        </w:drawing>
      </w:r>
      <w:r>
        <w:rPr>
          <w:rFonts w:ascii="Arial" w:hAnsi="Arial" w:eastAsia="Arial" w:cs="Arial"/>
          <w:i w:val="0"/>
          <w:iCs w:val="0"/>
          <w:caps w:val="0"/>
          <w:color w:val="333333"/>
          <w:spacing w:val="0"/>
          <w:sz w:val="24"/>
          <w:szCs w:val="24"/>
        </w:rPr>
        <w:t>按钮</w:t>
      </w:r>
      <w:r>
        <w:rPr>
          <w:rFonts w:hint="eastAsia" w:ascii="Arial" w:hAnsi="Arial" w:eastAsia="宋体" w:cs="Arial"/>
          <w:i w:val="0"/>
          <w:iCs w:val="0"/>
          <w:caps w:val="0"/>
          <w:color w:val="333333"/>
          <w:spacing w:val="0"/>
          <w:sz w:val="24"/>
          <w:szCs w:val="24"/>
          <w:lang w:eastAsia="zh-CN"/>
        </w:rPr>
        <w:t>，</w:t>
      </w:r>
      <w:r>
        <w:rPr>
          <w:rFonts w:hint="eastAsia" w:ascii="Arial" w:hAnsi="Arial" w:eastAsia="宋体" w:cs="Arial"/>
          <w:i w:val="0"/>
          <w:iCs w:val="0"/>
          <w:caps w:val="0"/>
          <w:color w:val="333333"/>
          <w:spacing w:val="0"/>
          <w:sz w:val="24"/>
          <w:szCs w:val="24"/>
          <w:lang w:val="en-US" w:eastAsia="zh-CN"/>
        </w:rPr>
        <w:t>展示指标的计算逻辑</w:t>
      </w:r>
      <w:r>
        <w:drawing>
          <wp:inline distT="0" distB="0" distL="114300" distR="114300">
            <wp:extent cx="5268595" cy="2018030"/>
            <wp:effectExtent l="0" t="0" r="8255" b="1270"/>
            <wp:docPr id="2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1"/>
                    <pic:cNvPicPr>
                      <a:picLocks noChangeAspect="1"/>
                    </pic:cNvPicPr>
                  </pic:nvPicPr>
                  <pic:blipFill>
                    <a:blip r:embed="rId74"/>
                    <a:stretch>
                      <a:fillRect/>
                    </a:stretch>
                  </pic:blipFill>
                  <pic:spPr>
                    <a:xfrm>
                      <a:off x="0" y="0"/>
                      <a:ext cx="5268595" cy="2018030"/>
                    </a:xfrm>
                    <a:prstGeom prst="rect">
                      <a:avLst/>
                    </a:prstGeom>
                    <a:noFill/>
                    <a:ln>
                      <a:noFill/>
                    </a:ln>
                  </pic:spPr>
                </pic:pic>
              </a:graphicData>
            </a:graphic>
          </wp:inline>
        </w:drawing>
      </w:r>
    </w:p>
    <w:p w14:paraId="6C2D8DD7">
      <w:pPr>
        <w:spacing w:before="120" w:after="120" w:line="288" w:lineRule="auto"/>
        <w:ind w:left="0" w:firstLine="0"/>
        <w:jc w:val="left"/>
        <w:rPr>
          <w:rFonts w:ascii="Arial" w:hAnsi="Arial" w:eastAsia="等线" w:cs="Arial"/>
          <w:sz w:val="22"/>
        </w:rPr>
      </w:pPr>
    </w:p>
    <w:p w14:paraId="74A5B39E">
      <w:pPr>
        <w:spacing w:before="120" w:after="120" w:line="288" w:lineRule="auto"/>
        <w:ind w:left="0" w:firstLine="0"/>
        <w:jc w:val="left"/>
        <w:rPr>
          <w:rFonts w:ascii="Arial" w:hAnsi="Arial" w:eastAsia="等线" w:cs="Arial"/>
          <w:b/>
          <w:bCs/>
          <w:sz w:val="22"/>
        </w:rPr>
      </w:pPr>
      <w:r>
        <w:rPr>
          <w:rFonts w:ascii="Arial" w:hAnsi="Arial" w:eastAsia="等线" w:cs="Arial"/>
          <w:b/>
          <w:bCs/>
          <w:sz w:val="22"/>
        </w:rPr>
        <w:t xml:space="preserve">1. </w:t>
      </w:r>
      <w:r>
        <w:rPr>
          <w:rFonts w:hint="eastAsia" w:ascii="Arial" w:hAnsi="Arial" w:eastAsia="等线" w:cs="Arial"/>
          <w:b/>
          <w:bCs/>
          <w:sz w:val="22"/>
          <w:lang w:val="en-US" w:eastAsia="zh-CN"/>
        </w:rPr>
        <w:t>多日复盘分析</w:t>
      </w:r>
      <w:r>
        <w:rPr>
          <w:rFonts w:ascii="Arial" w:hAnsi="Arial" w:eastAsia="等线" w:cs="Arial"/>
          <w:b/>
          <w:bCs/>
          <w:sz w:val="22"/>
        </w:rPr>
        <w:t>查询与操作区</w:t>
      </w:r>
    </w:p>
    <w:p w14:paraId="4C494E3C">
      <w:pPr>
        <w:spacing w:before="120" w:after="120" w:line="288" w:lineRule="auto"/>
        <w:ind w:left="0" w:firstLine="0"/>
        <w:jc w:val="left"/>
        <w:rPr>
          <w:rFonts w:ascii="Arial" w:hAnsi="Arial" w:eastAsia="等线" w:cs="Arial"/>
          <w:sz w:val="22"/>
        </w:rPr>
      </w:pPr>
      <w:r>
        <w:rPr>
          <w:rFonts w:ascii="Arial" w:hAnsi="Arial" w:eastAsia="等线" w:cs="Arial"/>
          <w:sz w:val="22"/>
        </w:rPr>
        <w:t>日期范围选择：可自定义复盘分析的时间区间（如示例中的 2026-05-15 至 2026-06-14），确定多日复盘的统计周期。</w:t>
      </w:r>
    </w:p>
    <w:p w14:paraId="616E9110">
      <w:pPr>
        <w:spacing w:before="120" w:after="120" w:line="288" w:lineRule="auto"/>
        <w:ind w:left="0" w:firstLine="0"/>
        <w:jc w:val="left"/>
        <w:rPr>
          <w:rFonts w:ascii="Arial" w:hAnsi="Arial" w:eastAsia="等线" w:cs="Arial"/>
          <w:b/>
          <w:bCs/>
          <w:sz w:val="22"/>
        </w:rPr>
      </w:pPr>
      <w:r>
        <w:rPr>
          <w:rFonts w:ascii="Arial" w:hAnsi="Arial" w:eastAsia="等线" w:cs="Arial"/>
          <w:b/>
          <w:bCs/>
          <w:sz w:val="22"/>
        </w:rPr>
        <w:t>模型与参数设置</w:t>
      </w:r>
    </w:p>
    <w:p w14:paraId="294A604B">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50AA7727">
      <w:pPr>
        <w:spacing w:before="120" w:after="120" w:line="288" w:lineRule="auto"/>
        <w:ind w:left="0" w:firstLine="0"/>
        <w:jc w:val="left"/>
        <w:rPr>
          <w:rFonts w:ascii="Arial" w:hAnsi="Arial" w:eastAsia="等线" w:cs="Arial"/>
          <w:sz w:val="22"/>
        </w:rPr>
      </w:pPr>
      <w:r>
        <w:drawing>
          <wp:inline distT="0" distB="0" distL="114300" distR="114300">
            <wp:extent cx="5269230" cy="1530350"/>
            <wp:effectExtent l="0" t="0" r="7620" b="12700"/>
            <wp:docPr id="2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7"/>
                    <pic:cNvPicPr>
                      <a:picLocks noChangeAspect="1"/>
                    </pic:cNvPicPr>
                  </pic:nvPicPr>
                  <pic:blipFill>
                    <a:blip r:embed="rId75"/>
                    <a:stretch>
                      <a:fillRect/>
                    </a:stretch>
                  </pic:blipFill>
                  <pic:spPr>
                    <a:xfrm>
                      <a:off x="0" y="0"/>
                      <a:ext cx="5269230" cy="1530350"/>
                    </a:xfrm>
                    <a:prstGeom prst="rect">
                      <a:avLst/>
                    </a:prstGeom>
                    <a:noFill/>
                    <a:ln>
                      <a:noFill/>
                    </a:ln>
                  </pic:spPr>
                </pic:pic>
              </a:graphicData>
            </a:graphic>
          </wp:inline>
        </w:drawing>
      </w:r>
    </w:p>
    <w:p w14:paraId="2338FA85">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深度训练」）。</w:t>
      </w:r>
    </w:p>
    <w:p w14:paraId="36ECB39A">
      <w:pPr>
        <w:spacing w:before="120" w:after="120" w:line="288" w:lineRule="auto"/>
        <w:ind w:left="0" w:firstLine="0"/>
        <w:jc w:val="left"/>
        <w:rPr>
          <w:rFonts w:ascii="Arial" w:hAnsi="Arial" w:eastAsia="等线" w:cs="Arial"/>
          <w:sz w:val="22"/>
        </w:rPr>
      </w:pPr>
      <w:r>
        <w:drawing>
          <wp:inline distT="0" distB="0" distL="114300" distR="114300">
            <wp:extent cx="5263515" cy="1522730"/>
            <wp:effectExtent l="0" t="0" r="13335" b="1270"/>
            <wp:docPr id="2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8"/>
                    <pic:cNvPicPr>
                      <a:picLocks noChangeAspect="1"/>
                    </pic:cNvPicPr>
                  </pic:nvPicPr>
                  <pic:blipFill>
                    <a:blip r:embed="rId76"/>
                    <a:stretch>
                      <a:fillRect/>
                    </a:stretch>
                  </pic:blipFill>
                  <pic:spPr>
                    <a:xfrm>
                      <a:off x="0" y="0"/>
                      <a:ext cx="5263515" cy="1522730"/>
                    </a:xfrm>
                    <a:prstGeom prst="rect">
                      <a:avLst/>
                    </a:prstGeom>
                    <a:noFill/>
                    <a:ln>
                      <a:noFill/>
                    </a:ln>
                  </pic:spPr>
                </pic:pic>
              </a:graphicData>
            </a:graphic>
          </wp:inline>
        </w:drawing>
      </w:r>
    </w:p>
    <w:p w14:paraId="7F39F2E8">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679D12C4">
      <w:pPr>
        <w:spacing w:before="120" w:after="120" w:line="288" w:lineRule="auto"/>
        <w:ind w:left="0" w:firstLine="0"/>
        <w:jc w:val="left"/>
        <w:rPr>
          <w:rFonts w:ascii="Arial" w:hAnsi="Arial" w:eastAsia="等线" w:cs="Arial"/>
          <w:sz w:val="22"/>
        </w:rPr>
      </w:pPr>
      <w:r>
        <w:drawing>
          <wp:inline distT="0" distB="0" distL="114300" distR="114300">
            <wp:extent cx="5265420" cy="1555750"/>
            <wp:effectExtent l="0" t="0" r="11430" b="6350"/>
            <wp:docPr id="2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9"/>
                    <pic:cNvPicPr>
                      <a:picLocks noChangeAspect="1"/>
                    </pic:cNvPicPr>
                  </pic:nvPicPr>
                  <pic:blipFill>
                    <a:blip r:embed="rId77"/>
                    <a:stretch>
                      <a:fillRect/>
                    </a:stretch>
                  </pic:blipFill>
                  <pic:spPr>
                    <a:xfrm>
                      <a:off x="0" y="0"/>
                      <a:ext cx="5265420" cy="1555750"/>
                    </a:xfrm>
                    <a:prstGeom prst="rect">
                      <a:avLst/>
                    </a:prstGeom>
                    <a:noFill/>
                    <a:ln>
                      <a:noFill/>
                    </a:ln>
                  </pic:spPr>
                </pic:pic>
              </a:graphicData>
            </a:graphic>
          </wp:inline>
        </w:drawing>
      </w:r>
    </w:p>
    <w:p w14:paraId="57EFF9D8">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6799B478">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「查询」按钮：参数设置完成后，点击加载对应周期的现货交易复盘数据。</w:t>
      </w:r>
    </w:p>
    <w:p w14:paraId="6855A978">
      <w:pPr>
        <w:spacing w:before="120" w:after="120" w:line="288" w:lineRule="auto"/>
        <w:ind w:left="0" w:firstLine="0"/>
        <w:jc w:val="left"/>
        <w:rPr>
          <w:rFonts w:ascii="Arial" w:hAnsi="Arial" w:eastAsia="等线" w:cs="Arial"/>
          <w:sz w:val="22"/>
        </w:rPr>
      </w:pPr>
      <w:r>
        <w:rPr>
          <w:rFonts w:ascii="Arial" w:hAnsi="Arial" w:eastAsia="等线" w:cs="Arial"/>
          <w:sz w:val="22"/>
        </w:rPr>
        <w:t>「导出」按钮：可将当前</w:t>
      </w:r>
      <w:r>
        <w:rPr>
          <w:rFonts w:hint="eastAsia" w:ascii="Arial" w:hAnsi="Arial" w:eastAsia="等线" w:cs="Arial"/>
          <w:sz w:val="22"/>
          <w:lang w:val="en-US" w:eastAsia="zh-CN"/>
        </w:rPr>
        <w:t>多日</w:t>
      </w:r>
      <w:r>
        <w:rPr>
          <w:rFonts w:ascii="Arial" w:hAnsi="Arial" w:eastAsia="等线" w:cs="Arial"/>
          <w:sz w:val="22"/>
        </w:rPr>
        <w:t>复盘结果导出为文件，用于本地存档与深度分析。</w:t>
      </w:r>
    </w:p>
    <w:p w14:paraId="4F69319F">
      <w:pPr>
        <w:spacing w:before="120" w:after="120" w:line="288" w:lineRule="auto"/>
        <w:ind w:left="0" w:firstLine="0"/>
        <w:jc w:val="left"/>
        <w:rPr>
          <w:rFonts w:ascii="Arial" w:hAnsi="Arial" w:eastAsia="等线" w:cs="Arial"/>
          <w:sz w:val="22"/>
        </w:rPr>
      </w:pPr>
      <w:r>
        <w:rPr>
          <w:rFonts w:ascii="Arial" w:hAnsi="Arial" w:eastAsia="等线" w:cs="Arial"/>
          <w:sz w:val="22"/>
        </w:rPr>
        <w:t>2. 核心指标概览区</w:t>
      </w:r>
    </w:p>
    <w:p w14:paraId="109BE73F">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展示复盘周期内的关键交易结果指标，快速掌握整体表现：</w:t>
      </w:r>
    </w:p>
    <w:p w14:paraId="468A16FF">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最大可套利收益、策略套利收益（含回收金额）、实际套利收益（含回收金额）、申报建议方向准确率。</w:t>
      </w:r>
    </w:p>
    <w:p w14:paraId="15B61AB2">
      <w:pPr>
        <w:spacing w:before="120" w:after="120" w:line="288" w:lineRule="auto"/>
        <w:ind w:left="0" w:firstLine="0"/>
        <w:jc w:val="left"/>
        <w:rPr>
          <w:rFonts w:ascii="Arial" w:hAnsi="Arial" w:eastAsia="等线" w:cs="Arial"/>
          <w:sz w:val="22"/>
        </w:rPr>
      </w:pPr>
      <w:r>
        <w:drawing>
          <wp:inline distT="0" distB="0" distL="114300" distR="114300">
            <wp:extent cx="5260975" cy="1237615"/>
            <wp:effectExtent l="0" t="0" r="15875" b="635"/>
            <wp:docPr id="2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0"/>
                    <pic:cNvPicPr>
                      <a:picLocks noChangeAspect="1"/>
                    </pic:cNvPicPr>
                  </pic:nvPicPr>
                  <pic:blipFill>
                    <a:blip r:embed="rId78"/>
                    <a:stretch>
                      <a:fillRect/>
                    </a:stretch>
                  </pic:blipFill>
                  <pic:spPr>
                    <a:xfrm>
                      <a:off x="0" y="0"/>
                      <a:ext cx="5260975" cy="1237615"/>
                    </a:xfrm>
                    <a:prstGeom prst="rect">
                      <a:avLst/>
                    </a:prstGeom>
                    <a:noFill/>
                    <a:ln>
                      <a:noFill/>
                    </a:ln>
                  </pic:spPr>
                </pic:pic>
              </a:graphicData>
            </a:graphic>
          </wp:inline>
        </w:drawing>
      </w:r>
    </w:p>
    <w:p w14:paraId="1880E29C">
      <w:pPr>
        <w:spacing w:before="120" w:after="120" w:line="288" w:lineRule="auto"/>
        <w:ind w:left="0" w:firstLine="0"/>
        <w:jc w:val="left"/>
        <w:rPr>
          <w:rFonts w:ascii="Arial" w:hAnsi="Arial" w:eastAsia="等线" w:cs="Arial"/>
          <w:sz w:val="22"/>
        </w:rPr>
      </w:pPr>
      <w:r>
        <w:rPr>
          <w:rFonts w:ascii="Arial" w:hAnsi="Arial" w:eastAsia="等线" w:cs="Arial"/>
          <w:sz w:val="22"/>
        </w:rPr>
        <w:t>3. 复盘分析图表区</w:t>
      </w:r>
    </w:p>
    <w:p w14:paraId="2DDAAA53">
      <w:pPr>
        <w:spacing w:before="120" w:after="120" w:line="288" w:lineRule="auto"/>
        <w:ind w:left="0" w:firstLine="0"/>
        <w:jc w:val="left"/>
        <w:rPr>
          <w:rFonts w:ascii="Arial" w:hAnsi="Arial" w:eastAsia="等线" w:cs="Arial"/>
          <w:sz w:val="22"/>
        </w:rPr>
      </w:pPr>
      <w:r>
        <w:rPr>
          <w:rFonts w:ascii="Arial" w:hAnsi="Arial" w:eastAsia="等线" w:cs="Arial"/>
          <w:sz w:val="22"/>
        </w:rPr>
        <w:t>（1）日套利收益趋势图</w:t>
      </w:r>
    </w:p>
    <w:p w14:paraId="2D0590C3">
      <w:pPr>
        <w:spacing w:before="120" w:after="120" w:line="288" w:lineRule="auto"/>
        <w:ind w:left="0" w:firstLine="0"/>
        <w:jc w:val="left"/>
        <w:rPr>
          <w:rFonts w:ascii="Arial" w:hAnsi="Arial" w:eastAsia="等线" w:cs="Arial"/>
          <w:sz w:val="22"/>
        </w:rPr>
      </w:pPr>
      <w:r>
        <w:rPr>
          <w:rFonts w:ascii="Arial" w:hAnsi="Arial" w:eastAsia="等线" w:cs="Arial"/>
          <w:sz w:val="22"/>
        </w:rPr>
        <w:t>以日期为横轴，展示复盘周期内每日的策略套利盈亏与实际套利盈亏变化趋势。</w:t>
      </w:r>
    </w:p>
    <w:p w14:paraId="11161D33">
      <w:pPr>
        <w:spacing w:before="120" w:after="120" w:line="288" w:lineRule="auto"/>
        <w:ind w:left="0" w:firstLine="0"/>
        <w:jc w:val="left"/>
        <w:rPr>
          <w:rFonts w:ascii="Arial" w:hAnsi="Arial" w:eastAsia="等线" w:cs="Arial"/>
          <w:sz w:val="22"/>
        </w:rPr>
      </w:pPr>
      <w:r>
        <w:rPr>
          <w:rFonts w:ascii="Arial" w:hAnsi="Arial" w:eastAsia="等线" w:cs="Arial"/>
          <w:sz w:val="22"/>
        </w:rPr>
        <w:t>可直观对比多日收益波动情况，识别收益异常的日期，分析整体策略的稳定性。</w:t>
      </w:r>
    </w:p>
    <w:p w14:paraId="338C53F2">
      <w:pPr>
        <w:spacing w:before="120" w:after="120" w:line="288" w:lineRule="auto"/>
        <w:ind w:left="0" w:firstLine="0"/>
        <w:jc w:val="left"/>
        <w:rPr>
          <w:rFonts w:ascii="Arial" w:hAnsi="Arial" w:eastAsia="等线" w:cs="Arial"/>
          <w:sz w:val="22"/>
        </w:rPr>
      </w:pPr>
      <w:r>
        <w:drawing>
          <wp:inline distT="0" distB="0" distL="114300" distR="114300">
            <wp:extent cx="5269230" cy="1427480"/>
            <wp:effectExtent l="0" t="0" r="7620" b="1270"/>
            <wp:docPr id="2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1"/>
                    <pic:cNvPicPr>
                      <a:picLocks noChangeAspect="1"/>
                    </pic:cNvPicPr>
                  </pic:nvPicPr>
                  <pic:blipFill>
                    <a:blip r:embed="rId79"/>
                    <a:stretch>
                      <a:fillRect/>
                    </a:stretch>
                  </pic:blipFill>
                  <pic:spPr>
                    <a:xfrm>
                      <a:off x="0" y="0"/>
                      <a:ext cx="5269230" cy="1427480"/>
                    </a:xfrm>
                    <a:prstGeom prst="rect">
                      <a:avLst/>
                    </a:prstGeom>
                    <a:noFill/>
                    <a:ln>
                      <a:noFill/>
                    </a:ln>
                  </pic:spPr>
                </pic:pic>
              </a:graphicData>
            </a:graphic>
          </wp:inline>
        </w:drawing>
      </w:r>
    </w:p>
    <w:p w14:paraId="365DDEEC">
      <w:pPr>
        <w:spacing w:before="120" w:after="120" w:line="288" w:lineRule="auto"/>
        <w:ind w:left="0" w:firstLine="0"/>
        <w:jc w:val="left"/>
        <w:rPr>
          <w:rFonts w:ascii="Arial" w:hAnsi="Arial" w:eastAsia="等线" w:cs="Arial"/>
          <w:sz w:val="22"/>
        </w:rPr>
      </w:pPr>
      <w:r>
        <w:rPr>
          <w:rFonts w:ascii="Arial" w:hAnsi="Arial" w:eastAsia="等线" w:cs="Arial"/>
          <w:sz w:val="22"/>
        </w:rPr>
        <w:t>（2）小时级方向预测准确率图</w:t>
      </w:r>
    </w:p>
    <w:p w14:paraId="5961B907">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以时段为横轴，展示不同时段的结算价差均值（实时 - 日前正负向分布），以及现货策略的方向预测准确率变化。</w:t>
      </w:r>
    </w:p>
    <w:p w14:paraId="65C400CC">
      <w:pPr>
        <w:spacing w:before="120" w:after="120" w:line="288" w:lineRule="auto"/>
        <w:ind w:left="0" w:firstLine="0"/>
        <w:jc w:val="left"/>
        <w:rPr>
          <w:rFonts w:ascii="Arial" w:hAnsi="Arial" w:eastAsia="等线" w:cs="Arial"/>
          <w:sz w:val="22"/>
        </w:rPr>
      </w:pPr>
      <w:r>
        <w:rPr>
          <w:rFonts w:ascii="Arial" w:hAnsi="Arial" w:eastAsia="等线" w:cs="Arial"/>
          <w:sz w:val="22"/>
        </w:rPr>
        <w:t>可分析不同时段的价差特征与预测准确率的关联，识别高 / 低准确率时段，为后续分时段策略优化提供参考。</w:t>
      </w:r>
    </w:p>
    <w:p w14:paraId="024A8DD5">
      <w:pPr>
        <w:spacing w:before="120" w:after="120" w:line="288" w:lineRule="auto"/>
        <w:ind w:left="0" w:firstLine="0"/>
        <w:jc w:val="left"/>
        <w:rPr>
          <w:rFonts w:ascii="Arial" w:hAnsi="Arial" w:eastAsia="等线" w:cs="Arial"/>
          <w:sz w:val="22"/>
        </w:rPr>
      </w:pPr>
      <w:r>
        <w:drawing>
          <wp:inline distT="0" distB="0" distL="114300" distR="114300">
            <wp:extent cx="5271770" cy="1534795"/>
            <wp:effectExtent l="0" t="0" r="5080" b="8255"/>
            <wp:docPr id="2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2"/>
                    <pic:cNvPicPr>
                      <a:picLocks noChangeAspect="1"/>
                    </pic:cNvPicPr>
                  </pic:nvPicPr>
                  <pic:blipFill>
                    <a:blip r:embed="rId80"/>
                    <a:stretch>
                      <a:fillRect/>
                    </a:stretch>
                  </pic:blipFill>
                  <pic:spPr>
                    <a:xfrm>
                      <a:off x="0" y="0"/>
                      <a:ext cx="5271770" cy="1534795"/>
                    </a:xfrm>
                    <a:prstGeom prst="rect">
                      <a:avLst/>
                    </a:prstGeom>
                    <a:noFill/>
                    <a:ln>
                      <a:noFill/>
                    </a:ln>
                  </pic:spPr>
                </pic:pic>
              </a:graphicData>
            </a:graphic>
          </wp:inline>
        </w:drawing>
      </w:r>
    </w:p>
    <w:p w14:paraId="629C2027">
      <w:pPr>
        <w:spacing w:before="120" w:after="120" w:line="288" w:lineRule="auto"/>
        <w:ind w:left="0" w:firstLine="0"/>
        <w:jc w:val="left"/>
        <w:rPr>
          <w:rFonts w:ascii="Arial" w:hAnsi="Arial" w:eastAsia="等线" w:cs="Arial"/>
          <w:sz w:val="22"/>
        </w:rPr>
      </w:pPr>
      <w:r>
        <w:rPr>
          <w:rFonts w:ascii="Arial" w:hAnsi="Arial" w:eastAsia="等线" w:cs="Arial"/>
          <w:sz w:val="22"/>
        </w:rPr>
        <w:t>（3）小时级套利收益对比图</w:t>
      </w:r>
    </w:p>
    <w:p w14:paraId="08F7792F">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以时段为横轴，对比展示复盘周期内各时段的最大可套利收益、实际套利收益、策略套利收益的平均水平。</w:t>
      </w:r>
    </w:p>
    <w:p w14:paraId="731787E1">
      <w:pPr>
        <w:spacing w:before="120" w:after="120" w:line="288" w:lineRule="auto"/>
        <w:ind w:left="0" w:firstLine="0"/>
        <w:jc w:val="left"/>
        <w:rPr>
          <w:rFonts w:ascii="Arial" w:hAnsi="Arial" w:eastAsia="等线" w:cs="Arial"/>
          <w:sz w:val="22"/>
        </w:rPr>
      </w:pPr>
      <w:r>
        <w:rPr>
          <w:rFonts w:ascii="Arial" w:hAnsi="Arial" w:eastAsia="等线" w:cs="Arial"/>
          <w:sz w:val="22"/>
        </w:rPr>
        <w:t>可定位不同时段的收益偏差情况，分析实际收益与理论收益的差距，识别执行偏差或策略失效的关键时段。</w:t>
      </w:r>
    </w:p>
    <w:p w14:paraId="4C242DC6">
      <w:pPr>
        <w:spacing w:before="120" w:after="120" w:line="288" w:lineRule="auto"/>
        <w:ind w:left="0" w:firstLine="0"/>
        <w:jc w:val="left"/>
        <w:rPr>
          <w:rFonts w:ascii="Arial" w:hAnsi="Arial" w:eastAsia="等线" w:cs="Arial"/>
          <w:sz w:val="22"/>
        </w:rPr>
      </w:pPr>
      <w:r>
        <w:drawing>
          <wp:inline distT="0" distB="0" distL="114300" distR="114300">
            <wp:extent cx="5264150" cy="1527175"/>
            <wp:effectExtent l="0" t="0" r="12700" b="15875"/>
            <wp:docPr id="2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3"/>
                    <pic:cNvPicPr>
                      <a:picLocks noChangeAspect="1"/>
                    </pic:cNvPicPr>
                  </pic:nvPicPr>
                  <pic:blipFill>
                    <a:blip r:embed="rId81"/>
                    <a:stretch>
                      <a:fillRect/>
                    </a:stretch>
                  </pic:blipFill>
                  <pic:spPr>
                    <a:xfrm>
                      <a:off x="0" y="0"/>
                      <a:ext cx="5264150" cy="1527175"/>
                    </a:xfrm>
                    <a:prstGeom prst="rect">
                      <a:avLst/>
                    </a:prstGeom>
                    <a:noFill/>
                    <a:ln>
                      <a:noFill/>
                    </a:ln>
                  </pic:spPr>
                </pic:pic>
              </a:graphicData>
            </a:graphic>
          </wp:inline>
        </w:drawing>
      </w:r>
    </w:p>
    <w:p w14:paraId="4AC04262">
      <w:pPr>
        <w:spacing w:before="120" w:after="120" w:line="288" w:lineRule="auto"/>
        <w:ind w:left="0" w:firstLine="0"/>
        <w:jc w:val="left"/>
        <w:rPr>
          <w:rFonts w:ascii="Arial" w:hAnsi="Arial" w:eastAsia="等线" w:cs="Arial"/>
          <w:sz w:val="22"/>
        </w:rPr>
      </w:pPr>
      <w:r>
        <w:rPr>
          <w:rFonts w:ascii="Arial" w:hAnsi="Arial" w:eastAsia="等线" w:cs="Arial"/>
          <w:sz w:val="22"/>
        </w:rPr>
        <w:t>（4）价差分析热力图矩阵</w:t>
      </w:r>
    </w:p>
    <w:p w14:paraId="4EB75DE3">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以 “日期 × 时段” 热力图形式，多维度呈现复盘周期内的价格与价差分布特征：</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70"/>
        <w:gridCol w:w="6335"/>
      </w:tblGrid>
      <w:tr w14:paraId="38C6A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597B64">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热力图名称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645DE8">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核心用途</w:t>
            </w:r>
          </w:p>
        </w:tc>
      </w:tr>
      <w:tr w14:paraId="048A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9AD78A">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日前价格热力图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CBF2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展示复盘周期内日前市场价格分布，把握价格波动规律</w:t>
            </w:r>
          </w:p>
        </w:tc>
      </w:tr>
      <w:tr w14:paraId="3BC43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E542B0">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实时价格热力图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9E7EA2">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呈现实时市场价格分布，对比日前与实时价格差异</w:t>
            </w:r>
          </w:p>
        </w:tc>
      </w:tr>
      <w:tr w14:paraId="70BC0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6591B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价差热力图（实时 - 日前）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BEEE8B">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分析实时价格与日前价格的价差分布，识别高收益套利时段</w:t>
            </w:r>
          </w:p>
        </w:tc>
      </w:tr>
      <w:tr w14:paraId="37C0A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E7678D">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价差方向预测热力图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FF59BF">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标注不同时段的价差方向预测结果（正确 / 错误），评估预测模型的准确性</w:t>
            </w:r>
          </w:p>
        </w:tc>
      </w:tr>
    </w:tbl>
    <w:p w14:paraId="3451D0CF">
      <w:pPr>
        <w:spacing w:before="120" w:after="120" w:line="288" w:lineRule="auto"/>
        <w:ind w:left="0"/>
        <w:jc w:val="left"/>
      </w:pPr>
      <w:r>
        <w:drawing>
          <wp:inline distT="0" distB="0" distL="114300" distR="114300">
            <wp:extent cx="5264150" cy="6005195"/>
            <wp:effectExtent l="0" t="0" r="12700" b="14605"/>
            <wp:docPr id="2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4"/>
                    <pic:cNvPicPr>
                      <a:picLocks noChangeAspect="1"/>
                    </pic:cNvPicPr>
                  </pic:nvPicPr>
                  <pic:blipFill>
                    <a:blip r:embed="rId82"/>
                    <a:stretch>
                      <a:fillRect/>
                    </a:stretch>
                  </pic:blipFill>
                  <pic:spPr>
                    <a:xfrm>
                      <a:off x="0" y="0"/>
                      <a:ext cx="5264150" cy="6005195"/>
                    </a:xfrm>
                    <a:prstGeom prst="rect">
                      <a:avLst/>
                    </a:prstGeom>
                    <a:noFill/>
                    <a:ln>
                      <a:noFill/>
                    </a:ln>
                  </pic:spPr>
                </pic:pic>
              </a:graphicData>
            </a:graphic>
          </wp:inline>
        </w:drawing>
      </w:r>
    </w:p>
    <w:p w14:paraId="7CED3CD0">
      <w:pPr>
        <w:spacing w:before="120" w:after="120" w:line="288" w:lineRule="auto"/>
        <w:ind w:left="0"/>
        <w:jc w:val="left"/>
        <w:rPr>
          <w:rFonts w:hint="eastAsia"/>
          <w:lang w:val="en-US" w:eastAsia="zh-CN"/>
        </w:rPr>
      </w:pPr>
      <w:r>
        <w:rPr>
          <w:rFonts w:hint="eastAsia"/>
          <w:lang w:val="en-US" w:eastAsia="zh-CN"/>
        </w:rPr>
        <w:t>右上角的缩放按钮，可以放大和缩小热力图</w:t>
      </w:r>
    </w:p>
    <w:p w14:paraId="7F492F2E">
      <w:pPr>
        <w:spacing w:before="120" w:after="120" w:line="288" w:lineRule="auto"/>
        <w:ind w:left="0"/>
        <w:jc w:val="left"/>
      </w:pPr>
      <w:r>
        <w:drawing>
          <wp:inline distT="0" distB="0" distL="114300" distR="114300">
            <wp:extent cx="5268595" cy="1084580"/>
            <wp:effectExtent l="0" t="0" r="8255" b="1270"/>
            <wp:docPr id="2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5"/>
                    <pic:cNvPicPr>
                      <a:picLocks noChangeAspect="1"/>
                    </pic:cNvPicPr>
                  </pic:nvPicPr>
                  <pic:blipFill>
                    <a:blip r:embed="rId83"/>
                    <a:stretch>
                      <a:fillRect/>
                    </a:stretch>
                  </pic:blipFill>
                  <pic:spPr>
                    <a:xfrm>
                      <a:off x="0" y="0"/>
                      <a:ext cx="5268595" cy="1084580"/>
                    </a:xfrm>
                    <a:prstGeom prst="rect">
                      <a:avLst/>
                    </a:prstGeom>
                    <a:noFill/>
                    <a:ln>
                      <a:noFill/>
                    </a:ln>
                  </pic:spPr>
                </pic:pic>
              </a:graphicData>
            </a:graphic>
          </wp:inline>
        </w:drawing>
      </w:r>
    </w:p>
    <w:p w14:paraId="2ABF9114">
      <w:pPr>
        <w:spacing w:before="120" w:after="120" w:line="288" w:lineRule="auto"/>
        <w:ind w:left="0"/>
        <w:jc w:val="left"/>
        <w:rPr>
          <w:rFonts w:hint="eastAsia"/>
          <w:lang w:val="en-US" w:eastAsia="zh-CN"/>
        </w:rPr>
      </w:pPr>
      <w:r>
        <w:rPr>
          <w:rFonts w:hint="eastAsia"/>
          <w:lang w:val="en-US" w:eastAsia="zh-CN"/>
        </w:rPr>
        <w:t>每一排热力图右侧折叠按钮，可以打开和隐藏同排热力图</w:t>
      </w:r>
    </w:p>
    <w:p w14:paraId="36B66E93">
      <w:pPr>
        <w:spacing w:before="120" w:after="120" w:line="288" w:lineRule="auto"/>
        <w:ind w:left="0"/>
        <w:jc w:val="left"/>
        <w:rPr>
          <w:rFonts w:hint="default"/>
          <w:lang w:val="en-US" w:eastAsia="zh-CN"/>
        </w:rPr>
      </w:pPr>
      <w:r>
        <w:drawing>
          <wp:inline distT="0" distB="0" distL="114300" distR="114300">
            <wp:extent cx="5267960" cy="1202690"/>
            <wp:effectExtent l="0" t="0" r="8890" b="16510"/>
            <wp:docPr id="2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6"/>
                    <pic:cNvPicPr>
                      <a:picLocks noChangeAspect="1"/>
                    </pic:cNvPicPr>
                  </pic:nvPicPr>
                  <pic:blipFill>
                    <a:blip r:embed="rId84"/>
                    <a:stretch>
                      <a:fillRect/>
                    </a:stretch>
                  </pic:blipFill>
                  <pic:spPr>
                    <a:xfrm>
                      <a:off x="0" y="0"/>
                      <a:ext cx="5267960" cy="1202690"/>
                    </a:xfrm>
                    <a:prstGeom prst="rect">
                      <a:avLst/>
                    </a:prstGeom>
                    <a:noFill/>
                    <a:ln>
                      <a:noFill/>
                    </a:ln>
                  </pic:spPr>
                </pic:pic>
              </a:graphicData>
            </a:graphic>
          </wp:inline>
        </w:drawing>
      </w:r>
    </w:p>
    <w:p w14:paraId="4EA8BCCD">
      <w:pPr>
        <w:spacing w:before="120" w:after="120" w:line="288" w:lineRule="auto"/>
        <w:ind w:left="0"/>
        <w:jc w:val="left"/>
        <w:rPr>
          <w:rFonts w:hint="eastAsia"/>
          <w:lang w:eastAsia="zh"/>
        </w:rPr>
      </w:pPr>
    </w:p>
    <w:p w14:paraId="64C65A82">
      <w:pPr>
        <w:spacing w:before="300" w:after="120" w:line="288" w:lineRule="auto"/>
        <w:ind w:left="0"/>
        <w:jc w:val="left"/>
        <w:outlineLvl w:val="2"/>
      </w:pPr>
      <w:bookmarkStart w:id="22" w:name="heading_195"/>
      <w:r>
        <w:rPr>
          <w:rFonts w:hint="eastAsia" w:ascii="Arial" w:hAnsi="Arial" w:eastAsia="等线" w:cs="Arial"/>
          <w:b/>
          <w:sz w:val="30"/>
          <w:szCs w:val="30"/>
          <w:lang w:val="en-US" w:eastAsia="zh-CN"/>
        </w:rPr>
        <w:t>5</w:t>
      </w:r>
      <w:r>
        <w:rPr>
          <w:rFonts w:ascii="Arial" w:hAnsi="Arial" w:eastAsia="等线" w:cs="Arial"/>
          <w:b/>
          <w:sz w:val="30"/>
          <w:szCs w:val="30"/>
        </w:rPr>
        <w:t>.</w:t>
      </w:r>
      <w:r>
        <w:rPr>
          <w:rFonts w:hint="eastAsia" w:ascii="Arial" w:hAnsi="Arial" w:eastAsia="等线" w:cs="Arial"/>
          <w:b/>
          <w:sz w:val="30"/>
          <w:szCs w:val="30"/>
          <w:lang w:val="en-US" w:eastAsia="zh-CN"/>
        </w:rPr>
        <w:t>3</w:t>
      </w:r>
      <w:r>
        <w:rPr>
          <w:rFonts w:ascii="Arial" w:hAnsi="Arial" w:eastAsia="等线" w:cs="Arial"/>
          <w:b/>
          <w:sz w:val="30"/>
          <w:szCs w:val="30"/>
        </w:rPr>
        <w:t>中长期交易复盘</w:t>
      </w:r>
      <w:bookmarkEnd w:id="22"/>
    </w:p>
    <w:p w14:paraId="1647B399">
      <w:pPr>
        <w:spacing w:before="240" w:after="80" w:line="288" w:lineRule="auto"/>
        <w:outlineLvl w:val="3"/>
      </w:pPr>
      <w:r>
        <w:rPr>
          <w:rFonts w:ascii="Arial" w:hAnsi="Arial" w:eastAsia="等线" w:cs="Arial"/>
          <w:b/>
          <w:sz w:val="26"/>
          <w:szCs w:val="26"/>
        </w:rPr>
        <w:t>模块简介</w:t>
      </w:r>
    </w:p>
    <w:p w14:paraId="730E0CF9">
      <w:pPr>
        <w:spacing w:before="120" w:after="120" w:line="288" w:lineRule="auto"/>
        <w:ind w:left="0"/>
        <w:jc w:val="left"/>
        <w:rPr>
          <w:rFonts w:hint="eastAsia" w:eastAsiaTheme="minorEastAsia"/>
          <w:lang w:eastAsia="zh"/>
        </w:rPr>
      </w:pPr>
      <w:r>
        <w:rPr>
          <w:rFonts w:ascii="宋体" w:hAnsi="宋体" w:eastAsia="宋体" w:cs="宋体"/>
          <w:sz w:val="24"/>
          <w:szCs w:val="24"/>
        </w:rPr>
        <w:t>本模块聚焦电力交易业务的</w:t>
      </w:r>
      <w:r>
        <w:rPr>
          <w:rStyle w:val="16"/>
          <w:rFonts w:ascii="宋体" w:hAnsi="宋体" w:eastAsia="宋体" w:cs="宋体"/>
          <w:b/>
          <w:bCs/>
          <w:color w:val="000000"/>
          <w:sz w:val="24"/>
          <w:szCs w:val="24"/>
        </w:rPr>
        <w:t>中长期交易复盘</w:t>
      </w:r>
      <w:r>
        <w:rPr>
          <w:rFonts w:ascii="宋体" w:hAnsi="宋体" w:eastAsia="宋体" w:cs="宋体"/>
          <w:sz w:val="24"/>
          <w:szCs w:val="24"/>
        </w:rPr>
        <w:t>场景，通过多维度数据统计与可视化分析，全面展示月度 / 年度双边协商、集中竞价、日滚动撮合等品种的成交电量、电费与价格情况，帮助用户掌握中长期交易的整体结构、成本水平与历史趋势，为后续</w:t>
      </w:r>
      <w:r>
        <w:rPr>
          <w:rFonts w:hint="eastAsia" w:ascii="宋体" w:hAnsi="宋体" w:eastAsia="宋体" w:cs="宋体"/>
          <w:sz w:val="24"/>
          <w:szCs w:val="24"/>
          <w:lang w:val="en-US" w:eastAsia="zh-CN"/>
        </w:rPr>
        <w:t>中长期</w:t>
      </w:r>
      <w:r>
        <w:rPr>
          <w:rFonts w:ascii="宋体" w:hAnsi="宋体" w:eastAsia="宋体" w:cs="宋体"/>
          <w:sz w:val="24"/>
          <w:szCs w:val="24"/>
        </w:rPr>
        <w:t>交易策略制定提供数据支撑。</w:t>
      </w:r>
    </w:p>
    <w:p w14:paraId="6D0E931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1. 顶部查询与操作区</w:t>
      </w:r>
    </w:p>
    <w:p w14:paraId="07427ECC">
      <w:pPr>
        <w:spacing w:before="240" w:after="80" w:line="288" w:lineRule="auto"/>
        <w:outlineLvl w:val="3"/>
      </w:pPr>
      <w:r>
        <w:rPr>
          <w:rFonts w:ascii="Arial" w:hAnsi="Arial" w:eastAsia="等线" w:cs="Arial"/>
          <w:b/>
          <w:sz w:val="26"/>
          <w:szCs w:val="26"/>
        </w:rPr>
        <w:t>操作说明</w:t>
      </w:r>
    </w:p>
    <w:p w14:paraId="75DFD29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月份选择：可自定义复盘分析的目标月份（如示例中的 2026-05），确定月度中长期交易复盘的统计周期。</w:t>
      </w:r>
    </w:p>
    <w:p w14:paraId="4428C2F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「重置」按钮：点击后清空当前设置的月份条件，恢复到系统默认状态，便于重新设置复盘周期。</w:t>
      </w:r>
    </w:p>
    <w:p w14:paraId="47D9D83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「查询」按钮：月份设置完成后，点击加载对应月份的中长期交易复盘数据。</w:t>
      </w:r>
    </w:p>
    <w:p w14:paraId="2212380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「导出」按钮：可将当前复盘数据导出为文件，用于本地存档与深度分析。</w:t>
      </w:r>
    </w:p>
    <w:p w14:paraId="1468C786">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2. 核心指标概览区</w:t>
      </w:r>
    </w:p>
    <w:p w14:paraId="1A80A282">
      <w:pPr>
        <w:spacing w:before="120" w:after="120" w:line="288" w:lineRule="auto"/>
        <w:ind w:left="0"/>
        <w:jc w:val="left"/>
        <w:rPr>
          <w:rFonts w:ascii="宋体" w:hAnsi="宋体" w:eastAsia="宋体" w:cs="宋体"/>
          <w:sz w:val="24"/>
          <w:szCs w:val="24"/>
        </w:rPr>
      </w:pPr>
      <w:r>
        <w:rPr>
          <w:rFonts w:ascii="宋体" w:hAnsi="宋体" w:eastAsia="宋体" w:cs="宋体"/>
          <w:sz w:val="24"/>
          <w:szCs w:val="24"/>
          <w:lang w:val="en-US" w:eastAsia="zh-CN"/>
        </w:rPr>
        <w:t>展示月度中长期交易的关键汇总指标，快速掌握整体交易规模与价格水平：</w:t>
      </w:r>
    </w:p>
    <w:p w14:paraId="0B3C22C0">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中长期成交电量（MWh）</w:t>
      </w:r>
    </w:p>
    <w:p w14:paraId="46A4E85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中长期成交电费（元）</w:t>
      </w:r>
    </w:p>
    <w:p w14:paraId="38A7C41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中长期成交均价（元 / MWh）</w:t>
      </w:r>
    </w:p>
    <w:p w14:paraId="2ED0FACD">
      <w:pPr>
        <w:spacing w:before="120" w:after="120" w:line="288" w:lineRule="auto"/>
        <w:ind w:left="0"/>
        <w:jc w:val="left"/>
        <w:rPr>
          <w:rFonts w:ascii="宋体" w:hAnsi="宋体" w:eastAsia="宋体" w:cs="宋体"/>
          <w:sz w:val="24"/>
          <w:szCs w:val="24"/>
        </w:rPr>
      </w:pPr>
      <w:r>
        <w:drawing>
          <wp:inline distT="0" distB="0" distL="114300" distR="114300">
            <wp:extent cx="5259705" cy="1169670"/>
            <wp:effectExtent l="0" t="0" r="17145" b="11430"/>
            <wp:docPr id="3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8"/>
                    <pic:cNvPicPr>
                      <a:picLocks noChangeAspect="1"/>
                    </pic:cNvPicPr>
                  </pic:nvPicPr>
                  <pic:blipFill>
                    <a:blip r:embed="rId85"/>
                    <a:stretch>
                      <a:fillRect/>
                    </a:stretch>
                  </pic:blipFill>
                  <pic:spPr>
                    <a:xfrm>
                      <a:off x="0" y="0"/>
                      <a:ext cx="5259705" cy="1169670"/>
                    </a:xfrm>
                    <a:prstGeom prst="rect">
                      <a:avLst/>
                    </a:prstGeom>
                    <a:noFill/>
                    <a:ln>
                      <a:noFill/>
                    </a:ln>
                  </pic:spPr>
                </pic:pic>
              </a:graphicData>
            </a:graphic>
          </wp:inline>
        </w:drawing>
      </w:r>
    </w:p>
    <w:p w14:paraId="7259BE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3. 交易品种明细与分布分析区</w:t>
      </w:r>
    </w:p>
    <w:p w14:paraId="42C0D80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 / 电费 / 价格列表：按交易品种（月度双边协商、月度集中竞价、年度集中竞价、日滚动撮合、年度双边协商交易）分别展示成交电量、成交电费与成交均价，清晰对比不同品种的交易规模与价格差异。</w:t>
      </w:r>
    </w:p>
    <w:p w14:paraId="3568887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各品种成交电量分布环形图：以环形图形式直观呈现不同交易品种的电量占比结构，帮助用户快速了解月度交易的品种分布特征。</w:t>
      </w:r>
    </w:p>
    <w:p w14:paraId="450F99F0">
      <w:pPr>
        <w:spacing w:before="120" w:after="120" w:line="288" w:lineRule="auto"/>
        <w:ind w:left="0"/>
        <w:jc w:val="left"/>
      </w:pPr>
      <w:r>
        <w:drawing>
          <wp:inline distT="0" distB="0" distL="114300" distR="114300">
            <wp:extent cx="5268595" cy="2052320"/>
            <wp:effectExtent l="0" t="0" r="8255" b="5080"/>
            <wp:docPr id="3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29"/>
                    <pic:cNvPicPr>
                      <a:picLocks noChangeAspect="1"/>
                    </pic:cNvPicPr>
                  </pic:nvPicPr>
                  <pic:blipFill>
                    <a:blip r:embed="rId86"/>
                    <a:stretch>
                      <a:fillRect/>
                    </a:stretch>
                  </pic:blipFill>
                  <pic:spPr>
                    <a:xfrm>
                      <a:off x="0" y="0"/>
                      <a:ext cx="5268595" cy="2052320"/>
                    </a:xfrm>
                    <a:prstGeom prst="rect">
                      <a:avLst/>
                    </a:prstGeom>
                    <a:noFill/>
                    <a:ln>
                      <a:noFill/>
                    </a:ln>
                  </pic:spPr>
                </pic:pic>
              </a:graphicData>
            </a:graphic>
          </wp:inline>
        </w:drawing>
      </w:r>
    </w:p>
    <w:p w14:paraId="4AD6466A">
      <w:pPr>
        <w:spacing w:before="120" w:after="120" w:line="288" w:lineRule="auto"/>
        <w:ind w:left="0"/>
        <w:jc w:val="left"/>
      </w:pPr>
      <w:r>
        <w:drawing>
          <wp:inline distT="0" distB="0" distL="114300" distR="114300">
            <wp:extent cx="3063875" cy="2872105"/>
            <wp:effectExtent l="0" t="0" r="3175" b="4445"/>
            <wp:docPr id="3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
                    <pic:cNvPicPr>
                      <a:picLocks noChangeAspect="1"/>
                    </pic:cNvPicPr>
                  </pic:nvPicPr>
                  <pic:blipFill>
                    <a:blip r:embed="rId87"/>
                    <a:stretch>
                      <a:fillRect/>
                    </a:stretch>
                  </pic:blipFill>
                  <pic:spPr>
                    <a:xfrm>
                      <a:off x="0" y="0"/>
                      <a:ext cx="3063875" cy="2872105"/>
                    </a:xfrm>
                    <a:prstGeom prst="rect">
                      <a:avLst/>
                    </a:prstGeom>
                    <a:noFill/>
                    <a:ln>
                      <a:noFill/>
                    </a:ln>
                  </pic:spPr>
                </pic:pic>
              </a:graphicData>
            </a:graphic>
          </wp:inline>
        </w:drawing>
      </w:r>
    </w:p>
    <w:p w14:paraId="4EF376A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4. 成本与价格对比分析区</w:t>
      </w:r>
    </w:p>
    <w:p w14:paraId="36F4F5D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各品种成交费用及价格占比</w:t>
      </w:r>
      <w:r>
        <w:rPr>
          <w:rFonts w:hint="eastAsia" w:ascii="宋体" w:hAnsi="宋体" w:eastAsia="宋体" w:cs="宋体"/>
          <w:sz w:val="24"/>
          <w:szCs w:val="24"/>
          <w:lang w:val="en-US" w:eastAsia="zh-CN"/>
        </w:rPr>
        <w:t xml:space="preserve"> </w:t>
      </w:r>
      <w:r>
        <w:rPr>
          <w:rFonts w:ascii="宋体" w:hAnsi="宋体" w:eastAsia="宋体" w:cs="宋体"/>
          <w:sz w:val="24"/>
          <w:szCs w:val="24"/>
        </w:rPr>
        <w:t>柱状折线图：对比展示不同品种的成交电费（柱状）、成交电价（绿色折线）与月度中长期市场均价（蓝色折线），直观分析各品种的成本偏离情况与市场整体价格水平的差异。</w:t>
      </w:r>
    </w:p>
    <w:p w14:paraId="17C34900">
      <w:pPr>
        <w:spacing w:before="120" w:after="120" w:line="288" w:lineRule="auto"/>
        <w:ind w:left="0"/>
        <w:jc w:val="left"/>
        <w:rPr>
          <w:rFonts w:ascii="宋体" w:hAnsi="宋体" w:eastAsia="宋体" w:cs="宋体"/>
          <w:sz w:val="24"/>
          <w:szCs w:val="24"/>
        </w:rPr>
      </w:pPr>
      <w:r>
        <w:drawing>
          <wp:inline distT="0" distB="0" distL="114300" distR="114300">
            <wp:extent cx="5270500" cy="2695575"/>
            <wp:effectExtent l="0" t="0" r="6350" b="9525"/>
            <wp:docPr id="3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1"/>
                    <pic:cNvPicPr>
                      <a:picLocks noChangeAspect="1"/>
                    </pic:cNvPicPr>
                  </pic:nvPicPr>
                  <pic:blipFill>
                    <a:blip r:embed="rId88"/>
                    <a:stretch>
                      <a:fillRect/>
                    </a:stretch>
                  </pic:blipFill>
                  <pic:spPr>
                    <a:xfrm>
                      <a:off x="0" y="0"/>
                      <a:ext cx="5270500" cy="2695575"/>
                    </a:xfrm>
                    <a:prstGeom prst="rect">
                      <a:avLst/>
                    </a:prstGeom>
                    <a:noFill/>
                    <a:ln>
                      <a:noFill/>
                    </a:ln>
                  </pic:spPr>
                </pic:pic>
              </a:graphicData>
            </a:graphic>
          </wp:inline>
        </w:drawing>
      </w:r>
    </w:p>
    <w:p w14:paraId="15A0629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5. 历史趋势回顾区</w:t>
      </w:r>
    </w:p>
    <w:p w14:paraId="0296EDF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月中长期成交均价回顾折线图：展示近 12 个月的成交均价与月度中长期市场均价变化趋势，帮助用户掌握价格的长期波动规律与阶段性变化特征。</w:t>
      </w:r>
    </w:p>
    <w:p w14:paraId="6C13C72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月成交电量及费用回顾柱状折线图：以柱状图展示近 12 个月的成交电量，以折线图展示对应成交电费，直观呈现交易规模与成本的年度变化趋势。</w:t>
      </w:r>
    </w:p>
    <w:p w14:paraId="106A9FA3">
      <w:pPr>
        <w:spacing w:before="120" w:after="120" w:line="288" w:lineRule="auto"/>
        <w:ind w:left="0"/>
        <w:jc w:val="left"/>
        <w:rPr>
          <w:rFonts w:hint="eastAsia" w:ascii="宋体" w:hAnsi="宋体" w:eastAsia="宋体" w:cs="宋体"/>
          <w:sz w:val="24"/>
          <w:szCs w:val="24"/>
          <w:lang w:eastAsia="zh"/>
        </w:rPr>
      </w:pPr>
      <w:r>
        <w:drawing>
          <wp:inline distT="0" distB="0" distL="114300" distR="114300">
            <wp:extent cx="5270500" cy="3573145"/>
            <wp:effectExtent l="0" t="0" r="6350" b="8255"/>
            <wp:docPr id="30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2"/>
                    <pic:cNvPicPr>
                      <a:picLocks noChangeAspect="1"/>
                    </pic:cNvPicPr>
                  </pic:nvPicPr>
                  <pic:blipFill>
                    <a:blip r:embed="rId89"/>
                    <a:stretch>
                      <a:fillRect/>
                    </a:stretch>
                  </pic:blipFill>
                  <pic:spPr>
                    <a:xfrm>
                      <a:off x="0" y="0"/>
                      <a:ext cx="5270500" cy="3573145"/>
                    </a:xfrm>
                    <a:prstGeom prst="rect">
                      <a:avLst/>
                    </a:prstGeom>
                    <a:noFill/>
                    <a:ln>
                      <a:noFill/>
                    </a:ln>
                  </pic:spPr>
                </pic:pic>
              </a:graphicData>
            </a:graphic>
          </wp:inline>
        </w:drawing>
      </w:r>
    </w:p>
    <w:p w14:paraId="4DB583D7">
      <w:pPr>
        <w:spacing w:before="120" w:after="120" w:line="288" w:lineRule="auto"/>
        <w:ind w:left="0"/>
        <w:jc w:val="left"/>
        <w:rPr>
          <w:rFonts w:hint="eastAsia" w:eastAsiaTheme="minorEastAsia"/>
          <w:lang w:eastAsia="zh"/>
        </w:rPr>
      </w:pPr>
    </w:p>
    <w:p w14:paraId="3F8AFF09">
      <w:pPr>
        <w:numPr>
          <w:ilvl w:val="0"/>
          <w:numId w:val="0"/>
        </w:numPr>
        <w:spacing w:before="120" w:after="120" w:line="288" w:lineRule="auto"/>
        <w:jc w:val="left"/>
      </w:pPr>
    </w:p>
    <w:p w14:paraId="018B94E5">
      <w:pPr>
        <w:spacing w:before="320" w:after="120" w:line="288" w:lineRule="auto"/>
        <w:ind w:left="0"/>
        <w:jc w:val="left"/>
        <w:outlineLvl w:val="1"/>
      </w:pPr>
      <w:bookmarkStart w:id="23" w:name="heading_200"/>
      <w:bookmarkStart w:id="24" w:name="_Toc21608"/>
      <w:r>
        <w:rPr>
          <w:rFonts w:hint="eastAsia" w:ascii="Arial" w:hAnsi="Arial" w:eastAsia="等线" w:cs="Arial"/>
          <w:b/>
          <w:sz w:val="36"/>
          <w:szCs w:val="36"/>
          <w:lang w:val="en-US" w:eastAsia="zh-CN"/>
        </w:rPr>
        <w:t>6</w:t>
      </w:r>
      <w:r>
        <w:rPr>
          <w:rFonts w:ascii="Arial" w:hAnsi="Arial" w:eastAsia="等线" w:cs="Arial"/>
          <w:b/>
          <w:sz w:val="36"/>
          <w:szCs w:val="36"/>
        </w:rPr>
        <w:t>平台服务</w:t>
      </w:r>
      <w:bookmarkEnd w:id="23"/>
      <w:bookmarkEnd w:id="24"/>
    </w:p>
    <w:p w14:paraId="585DF523">
      <w:pPr>
        <w:spacing w:before="300" w:after="120" w:line="288" w:lineRule="auto"/>
        <w:ind w:left="0"/>
        <w:jc w:val="left"/>
        <w:outlineLvl w:val="2"/>
      </w:pPr>
      <w:bookmarkStart w:id="25" w:name="heading_201"/>
      <w:r>
        <w:rPr>
          <w:rFonts w:hint="eastAsia" w:ascii="Arial" w:hAnsi="Arial" w:eastAsia="等线" w:cs="Arial"/>
          <w:b/>
          <w:sz w:val="30"/>
          <w:szCs w:val="30"/>
          <w:lang w:val="en-US" w:eastAsia="zh-CN"/>
        </w:rPr>
        <w:t>6</w:t>
      </w:r>
      <w:r>
        <w:rPr>
          <w:rFonts w:ascii="Arial" w:hAnsi="Arial" w:eastAsia="等线" w:cs="Arial"/>
          <w:b/>
          <w:sz w:val="30"/>
          <w:szCs w:val="30"/>
        </w:rPr>
        <w:t>.1 系统角色</w:t>
      </w:r>
      <w:bookmarkEnd w:id="25"/>
    </w:p>
    <w:p w14:paraId="2D576F0C">
      <w:pPr>
        <w:spacing w:before="240" w:after="80" w:line="288" w:lineRule="auto"/>
        <w:outlineLvl w:val="3"/>
      </w:pPr>
      <w:r>
        <w:rPr>
          <w:rFonts w:ascii="Arial" w:hAnsi="Arial" w:eastAsia="等线" w:cs="Arial"/>
          <w:b/>
          <w:sz w:val="26"/>
          <w:szCs w:val="26"/>
        </w:rPr>
        <w:t>模块简介</w:t>
      </w:r>
    </w:p>
    <w:p w14:paraId="6882A59E">
      <w:pPr>
        <w:spacing w:before="240" w:after="80" w:line="288" w:lineRule="auto"/>
        <w:outlineLvl w:val="3"/>
      </w:pPr>
      <w:r>
        <w:rPr>
          <w:rFonts w:ascii="Arial" w:hAnsi="Arial" w:eastAsia="等线" w:cs="Arial"/>
          <w:b/>
          <w:sz w:val="26"/>
          <w:szCs w:val="26"/>
        </w:rPr>
        <w:t>操作说明</w:t>
      </w:r>
    </w:p>
    <w:p w14:paraId="2AECC60E">
      <w:pPr>
        <w:spacing w:before="120" w:after="120" w:line="288" w:lineRule="auto"/>
        <w:ind w:left="0" w:firstLine="0"/>
        <w:jc w:val="left"/>
      </w:pPr>
      <w:r>
        <w:rPr>
          <w:rFonts w:ascii="Arial" w:hAnsi="Arial" w:eastAsia="等线" w:cs="Arial"/>
          <w:sz w:val="22"/>
        </w:rPr>
        <w:t>此模块用以配置平台系统内的菜单权限</w:t>
      </w:r>
    </w:p>
    <w:p w14:paraId="4D6E560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631950"/>
            <wp:effectExtent l="0" t="0" r="17780" b="6350"/>
            <wp:docPr id="1348" name="图片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图片 1348"/>
                    <pic:cNvPicPr>
                      <a:picLocks noChangeAspect="1"/>
                    </pic:cNvPicPr>
                  </pic:nvPicPr>
                  <pic:blipFill>
                    <a:blip r:embed="rId90"/>
                    <a:stretch>
                      <a:fillRect/>
                    </a:stretch>
                  </pic:blipFill>
                  <pic:spPr>
                    <a:xfrm>
                      <a:off x="0" y="0"/>
                      <a:ext cx="5259070" cy="1631950"/>
                    </a:xfrm>
                    <a:prstGeom prst="rect">
                      <a:avLst/>
                    </a:prstGeom>
                  </pic:spPr>
                </pic:pic>
              </a:graphicData>
            </a:graphic>
          </wp:inline>
        </w:drawing>
      </w:r>
    </w:p>
    <w:p w14:paraId="471F1ABE">
      <w:pPr>
        <w:spacing w:before="120" w:after="120" w:line="288" w:lineRule="auto"/>
        <w:ind w:left="0" w:firstLine="0"/>
        <w:jc w:val="left"/>
      </w:pPr>
      <w:r>
        <w:rPr>
          <w:rFonts w:ascii="Arial" w:hAnsi="Arial" w:eastAsia="等线" w:cs="Arial"/>
          <w:sz w:val="22"/>
        </w:rPr>
        <w:t>点击创建角色以新增一个菜单角色关系</w:t>
      </w:r>
    </w:p>
    <w:p w14:paraId="4F8B05F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1610" cy="2432050"/>
            <wp:effectExtent l="0" t="0" r="15240" b="6350"/>
            <wp:docPr id="1349" name="图片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 name="图片 1349"/>
                    <pic:cNvPicPr>
                      <a:picLocks noChangeAspect="1"/>
                    </pic:cNvPicPr>
                  </pic:nvPicPr>
                  <pic:blipFill>
                    <a:blip r:embed="rId91"/>
                    <a:stretch>
                      <a:fillRect/>
                    </a:stretch>
                  </pic:blipFill>
                  <pic:spPr>
                    <a:xfrm>
                      <a:off x="0" y="0"/>
                      <a:ext cx="5261610" cy="2432050"/>
                    </a:xfrm>
                    <a:prstGeom prst="rect">
                      <a:avLst/>
                    </a:prstGeom>
                  </pic:spPr>
                </pic:pic>
              </a:graphicData>
            </a:graphic>
          </wp:inline>
        </w:drawing>
      </w:r>
    </w:p>
    <w:p w14:paraId="27C45C3B">
      <w:pPr>
        <w:spacing w:before="120" w:after="120" w:line="288" w:lineRule="auto"/>
        <w:ind w:left="0" w:firstLine="0"/>
        <w:jc w:val="left"/>
      </w:pPr>
      <w:r>
        <w:rPr>
          <w:rFonts w:ascii="Arial" w:hAnsi="Arial" w:eastAsia="等线" w:cs="Arial"/>
          <w:sz w:val="22"/>
        </w:rPr>
        <w:t>点击编辑对已创建的角色进行修改。修改后下次响应账号登录时权限将同步变更。</w:t>
      </w:r>
    </w:p>
    <w:p w14:paraId="5D8CB05D">
      <w:pPr>
        <w:spacing w:before="300" w:after="120" w:line="288" w:lineRule="auto"/>
        <w:ind w:left="0"/>
        <w:jc w:val="left"/>
        <w:outlineLvl w:val="2"/>
      </w:pPr>
      <w:bookmarkStart w:id="26" w:name="heading_202"/>
      <w:r>
        <w:rPr>
          <w:rFonts w:hint="eastAsia" w:ascii="Arial" w:hAnsi="Arial" w:eastAsia="等线" w:cs="Arial"/>
          <w:b/>
          <w:sz w:val="30"/>
          <w:szCs w:val="30"/>
          <w:lang w:val="en-US" w:eastAsia="zh-CN"/>
        </w:rPr>
        <w:t>6</w:t>
      </w:r>
      <w:r>
        <w:rPr>
          <w:rFonts w:ascii="Arial" w:hAnsi="Arial" w:eastAsia="等线" w:cs="Arial"/>
          <w:b/>
          <w:sz w:val="30"/>
          <w:szCs w:val="30"/>
        </w:rPr>
        <w:t>.2 账号权限</w:t>
      </w:r>
      <w:bookmarkEnd w:id="26"/>
    </w:p>
    <w:p w14:paraId="492761DD">
      <w:pPr>
        <w:spacing w:before="240" w:after="80" w:line="288" w:lineRule="auto"/>
        <w:outlineLvl w:val="3"/>
      </w:pPr>
      <w:r>
        <w:rPr>
          <w:rFonts w:ascii="Arial" w:hAnsi="Arial" w:eastAsia="等线" w:cs="Arial"/>
          <w:b/>
          <w:sz w:val="26"/>
          <w:szCs w:val="26"/>
        </w:rPr>
        <w:t>模块简介</w:t>
      </w:r>
    </w:p>
    <w:p w14:paraId="476E835A">
      <w:pPr>
        <w:spacing w:before="240" w:after="80" w:line="288" w:lineRule="auto"/>
        <w:outlineLvl w:val="3"/>
      </w:pPr>
      <w:r>
        <w:rPr>
          <w:rFonts w:ascii="Arial" w:hAnsi="Arial" w:eastAsia="等线" w:cs="Arial"/>
          <w:b/>
          <w:sz w:val="26"/>
          <w:szCs w:val="26"/>
        </w:rPr>
        <w:t>操作说明</w:t>
      </w:r>
    </w:p>
    <w:p w14:paraId="6F316F40">
      <w:pPr>
        <w:spacing w:before="120" w:after="120" w:line="288" w:lineRule="auto"/>
        <w:ind w:left="0" w:firstLine="0"/>
        <w:jc w:val="left"/>
      </w:pPr>
      <w:r>
        <w:rPr>
          <w:rFonts w:ascii="Arial" w:hAnsi="Arial" w:eastAsia="等线" w:cs="Arial"/>
          <w:sz w:val="22"/>
        </w:rPr>
        <w:t>此模块用以维护登录账号与角色绑定关系</w:t>
      </w:r>
    </w:p>
    <w:p w14:paraId="5C552F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2218055"/>
            <wp:effectExtent l="0" t="0" r="6350" b="10795"/>
            <wp:docPr id="1350" name="图片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 name="图片 1350"/>
                    <pic:cNvPicPr>
                      <a:picLocks noChangeAspect="1"/>
                    </pic:cNvPicPr>
                  </pic:nvPicPr>
                  <pic:blipFill>
                    <a:blip r:embed="rId92"/>
                    <a:stretch>
                      <a:fillRect/>
                    </a:stretch>
                  </pic:blipFill>
                  <pic:spPr>
                    <a:xfrm>
                      <a:off x="0" y="0"/>
                      <a:ext cx="5270500" cy="2218055"/>
                    </a:xfrm>
                    <a:prstGeom prst="rect">
                      <a:avLst/>
                    </a:prstGeom>
                  </pic:spPr>
                </pic:pic>
              </a:graphicData>
            </a:graphic>
          </wp:inline>
        </w:drawing>
      </w:r>
    </w:p>
    <w:p w14:paraId="639A703F">
      <w:pPr>
        <w:spacing w:before="120" w:after="120" w:line="288" w:lineRule="auto"/>
        <w:ind w:left="0" w:firstLine="0"/>
        <w:jc w:val="left"/>
      </w:pPr>
      <w:r>
        <w:rPr>
          <w:rFonts w:ascii="Arial" w:hAnsi="Arial" w:eastAsia="等线" w:cs="Arial"/>
          <w:sz w:val="22"/>
        </w:rPr>
        <w:t>点击创建员工以新增账号</w:t>
      </w:r>
    </w:p>
    <w:p w14:paraId="28B6340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259965"/>
            <wp:effectExtent l="0" t="0" r="13335" b="6985"/>
            <wp:docPr id="1351" name="图片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 name="图片 1351"/>
                    <pic:cNvPicPr>
                      <a:picLocks noChangeAspect="1"/>
                    </pic:cNvPicPr>
                  </pic:nvPicPr>
                  <pic:blipFill>
                    <a:blip r:embed="rId93"/>
                    <a:stretch>
                      <a:fillRect/>
                    </a:stretch>
                  </pic:blipFill>
                  <pic:spPr>
                    <a:xfrm>
                      <a:off x="0" y="0"/>
                      <a:ext cx="5263515" cy="2259965"/>
                    </a:xfrm>
                    <a:prstGeom prst="rect">
                      <a:avLst/>
                    </a:prstGeom>
                  </pic:spPr>
                </pic:pic>
              </a:graphicData>
            </a:graphic>
          </wp:inline>
        </w:drawing>
      </w:r>
    </w:p>
    <w:p w14:paraId="24142159">
      <w:pPr>
        <w:spacing w:before="120" w:after="120" w:line="288" w:lineRule="auto"/>
        <w:ind w:left="0" w:firstLine="0"/>
        <w:jc w:val="left"/>
      </w:pPr>
      <w:r>
        <w:rPr>
          <w:rFonts w:ascii="Arial" w:hAnsi="Arial" w:eastAsia="等线" w:cs="Arial"/>
          <w:sz w:val="22"/>
        </w:rPr>
        <w:t>创建账号后，点击修改以调整已配置的账号</w:t>
      </w:r>
    </w:p>
    <w:p w14:paraId="0C762645">
      <w:pPr>
        <w:spacing w:before="120" w:after="120" w:line="288" w:lineRule="auto"/>
        <w:ind w:left="0" w:firstLine="0"/>
        <w:jc w:val="left"/>
      </w:pPr>
      <w:r>
        <w:rPr>
          <w:rFonts w:ascii="Arial" w:hAnsi="Arial" w:eastAsia="等线" w:cs="Arial"/>
          <w:sz w:val="22"/>
        </w:rPr>
        <w:t>点击禁用，以禁止该账号登录系统</w:t>
      </w:r>
    </w:p>
    <w:p w14:paraId="536892C1">
      <w:pPr>
        <w:spacing w:before="300" w:after="120" w:line="288" w:lineRule="auto"/>
        <w:ind w:left="0"/>
        <w:jc w:val="left"/>
        <w:outlineLvl w:val="2"/>
      </w:pPr>
      <w:bookmarkStart w:id="27" w:name="heading_203"/>
      <w:r>
        <w:rPr>
          <w:rFonts w:hint="eastAsia" w:ascii="Arial" w:hAnsi="Arial" w:eastAsia="等线" w:cs="Arial"/>
          <w:b/>
          <w:sz w:val="30"/>
          <w:szCs w:val="30"/>
          <w:lang w:val="en-US" w:eastAsia="zh-CN"/>
        </w:rPr>
        <w:t>6</w:t>
      </w:r>
      <w:r>
        <w:rPr>
          <w:rFonts w:ascii="Arial" w:hAnsi="Arial" w:eastAsia="等线" w:cs="Arial"/>
          <w:b/>
          <w:sz w:val="30"/>
          <w:szCs w:val="30"/>
        </w:rPr>
        <w:t>.3 交易中心管理</w:t>
      </w:r>
      <w:bookmarkEnd w:id="27"/>
    </w:p>
    <w:p w14:paraId="4D49C51F">
      <w:pPr>
        <w:spacing w:before="240" w:after="80" w:line="288" w:lineRule="auto"/>
        <w:outlineLvl w:val="3"/>
      </w:pPr>
      <w:r>
        <w:rPr>
          <w:rFonts w:ascii="Arial" w:hAnsi="Arial" w:eastAsia="等线" w:cs="Arial"/>
          <w:b/>
          <w:sz w:val="26"/>
          <w:szCs w:val="26"/>
        </w:rPr>
        <w:t>模块简介</w:t>
      </w:r>
    </w:p>
    <w:p w14:paraId="04D09A2B">
      <w:pPr>
        <w:spacing w:before="240" w:after="80" w:line="288" w:lineRule="auto"/>
        <w:outlineLvl w:val="3"/>
      </w:pPr>
      <w:r>
        <w:rPr>
          <w:rFonts w:ascii="Arial" w:hAnsi="Arial" w:eastAsia="等线" w:cs="Arial"/>
          <w:b/>
          <w:sz w:val="26"/>
          <w:szCs w:val="26"/>
        </w:rPr>
        <w:t>操作说明</w:t>
      </w:r>
    </w:p>
    <w:p w14:paraId="6A5A7DC3">
      <w:pPr>
        <w:spacing w:before="120" w:after="120" w:line="288" w:lineRule="auto"/>
        <w:ind w:left="0" w:firstLine="0"/>
        <w:jc w:val="left"/>
      </w:pPr>
      <w:r>
        <w:rPr>
          <w:rFonts w:ascii="Arial" w:hAnsi="Arial" w:eastAsia="等线" w:cs="Arial"/>
          <w:sz w:val="22"/>
        </w:rPr>
        <w:t>此模块用以进行交易中心的各类规则配置管理</w:t>
      </w:r>
    </w:p>
    <w:p w14:paraId="1C05293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2299335"/>
            <wp:effectExtent l="0" t="0" r="5080" b="571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 name="图片 1356"/>
                    <pic:cNvPicPr>
                      <a:picLocks noChangeAspect="1"/>
                    </pic:cNvPicPr>
                  </pic:nvPicPr>
                  <pic:blipFill>
                    <a:blip r:embed="rId94"/>
                    <a:stretch>
                      <a:fillRect/>
                    </a:stretch>
                  </pic:blipFill>
                  <pic:spPr>
                    <a:xfrm>
                      <a:off x="0" y="0"/>
                      <a:ext cx="5271770" cy="2299335"/>
                    </a:xfrm>
                    <a:prstGeom prst="rect">
                      <a:avLst/>
                    </a:prstGeom>
                  </pic:spPr>
                </pic:pic>
              </a:graphicData>
            </a:graphic>
          </wp:inline>
        </w:drawing>
      </w:r>
    </w:p>
    <w:p w14:paraId="11870D81">
      <w:pPr>
        <w:spacing w:before="120" w:after="120" w:line="288" w:lineRule="auto"/>
        <w:ind w:left="0" w:firstLine="0"/>
        <w:jc w:val="left"/>
      </w:pPr>
      <w:r>
        <w:rPr>
          <w:rFonts w:ascii="Arial" w:hAnsi="Arial" w:eastAsia="等线" w:cs="Arial"/>
          <w:sz w:val="22"/>
        </w:rPr>
        <w:t>点击电力交易类型后的修改，进入交易信息的维护页面</w:t>
      </w:r>
    </w:p>
    <w:p w14:paraId="655DDDC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535555"/>
            <wp:effectExtent l="0" t="0" r="12700" b="17145"/>
            <wp:docPr id="1357" name="图片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 name="图片 1357"/>
                    <pic:cNvPicPr>
                      <a:picLocks noChangeAspect="1"/>
                    </pic:cNvPicPr>
                  </pic:nvPicPr>
                  <pic:blipFill>
                    <a:blip r:embed="rId95"/>
                    <a:stretch>
                      <a:fillRect/>
                    </a:stretch>
                  </pic:blipFill>
                  <pic:spPr>
                    <a:xfrm>
                      <a:off x="0" y="0"/>
                      <a:ext cx="5264150" cy="2535555"/>
                    </a:xfrm>
                    <a:prstGeom prst="rect">
                      <a:avLst/>
                    </a:prstGeom>
                  </pic:spPr>
                </pic:pic>
              </a:graphicData>
            </a:graphic>
          </wp:inline>
        </w:drawing>
      </w:r>
    </w:p>
    <w:p w14:paraId="5FED18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668780"/>
            <wp:effectExtent l="0" t="0" r="5715" b="7620"/>
            <wp:docPr id="1358" name="图片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 name="图片 1358"/>
                    <pic:cNvPicPr>
                      <a:picLocks noChangeAspect="1"/>
                    </pic:cNvPicPr>
                  </pic:nvPicPr>
                  <pic:blipFill>
                    <a:blip r:embed="rId96"/>
                    <a:stretch>
                      <a:fillRect/>
                    </a:stretch>
                  </pic:blipFill>
                  <pic:spPr>
                    <a:xfrm>
                      <a:off x="0" y="0"/>
                      <a:ext cx="5271135" cy="1668780"/>
                    </a:xfrm>
                    <a:prstGeom prst="rect">
                      <a:avLst/>
                    </a:prstGeom>
                  </pic:spPr>
                </pic:pic>
              </a:graphicData>
            </a:graphic>
          </wp:inline>
        </w:drawing>
      </w:r>
    </w:p>
    <w:p w14:paraId="7FA1C90B">
      <w:pPr>
        <w:spacing w:before="120" w:after="120" w:line="288" w:lineRule="auto"/>
        <w:ind w:left="0" w:firstLine="0"/>
        <w:jc w:val="left"/>
      </w:pPr>
      <w:r>
        <w:rPr>
          <w:rFonts w:ascii="Arial" w:hAnsi="Arial" w:eastAsia="等线" w:cs="Arial"/>
          <w:sz w:val="22"/>
        </w:rPr>
        <w:t>可配置项包括交易电量类型、绿电电量类型、绿电权益、电量基准单位、电价基准单位、结算模式、用电量数据类型、用电量起始点。品种信息、时段信息。电力标的与用户电量类型由于涉及到系统最底层数据，暂不支持手动修改配置，需在变更时由研发人员调整。</w:t>
      </w:r>
    </w:p>
    <w:p w14:paraId="57A9F2F7">
      <w:pPr>
        <w:spacing w:before="120" w:after="120" w:line="288" w:lineRule="auto"/>
        <w:ind w:left="0"/>
        <w:jc w:val="left"/>
      </w:pPr>
      <w:r>
        <w:rPr>
          <w:rFonts w:ascii="Arial" w:hAnsi="Arial" w:eastAsia="等线" w:cs="Arial"/>
          <w:sz w:val="22"/>
        </w:rPr>
        <w:t>点击新增品种，以创建交易品种信息，包含品种名称、交易类型、交易周期、交易方式、电力类型。</w:t>
      </w:r>
    </w:p>
    <w:p w14:paraId="1E8B687C">
      <w:pPr>
        <w:spacing w:before="300" w:after="120" w:line="288" w:lineRule="auto"/>
        <w:ind w:left="0"/>
        <w:jc w:val="left"/>
        <w:outlineLvl w:val="2"/>
      </w:pPr>
      <w:bookmarkStart w:id="28" w:name="heading_204"/>
      <w:r>
        <w:rPr>
          <w:rFonts w:hint="eastAsia" w:ascii="Arial" w:hAnsi="Arial" w:eastAsia="等线" w:cs="Arial"/>
          <w:b/>
          <w:sz w:val="30"/>
          <w:szCs w:val="30"/>
          <w:lang w:val="en-US" w:eastAsia="zh-CN"/>
        </w:rPr>
        <w:t>6</w:t>
      </w:r>
      <w:r>
        <w:rPr>
          <w:rFonts w:ascii="Arial" w:hAnsi="Arial" w:eastAsia="等线" w:cs="Arial"/>
          <w:b/>
          <w:sz w:val="30"/>
          <w:szCs w:val="30"/>
        </w:rPr>
        <w:t>.4 交易日历</w:t>
      </w:r>
      <w:bookmarkEnd w:id="28"/>
    </w:p>
    <w:p w14:paraId="3CA009EB">
      <w:pPr>
        <w:spacing w:before="240" w:after="80" w:line="288" w:lineRule="auto"/>
        <w:outlineLvl w:val="3"/>
      </w:pPr>
      <w:r>
        <w:rPr>
          <w:rFonts w:ascii="Arial" w:hAnsi="Arial" w:eastAsia="等线" w:cs="Arial"/>
          <w:b/>
          <w:sz w:val="26"/>
          <w:szCs w:val="26"/>
        </w:rPr>
        <w:t>模块简介</w:t>
      </w:r>
    </w:p>
    <w:p w14:paraId="0EF398E4">
      <w:pPr>
        <w:spacing w:before="240" w:after="80" w:line="288" w:lineRule="auto"/>
        <w:outlineLvl w:val="3"/>
      </w:pPr>
      <w:r>
        <w:rPr>
          <w:rFonts w:ascii="Arial" w:hAnsi="Arial" w:eastAsia="等线" w:cs="Arial"/>
          <w:b/>
          <w:sz w:val="26"/>
          <w:szCs w:val="26"/>
        </w:rPr>
        <w:t>操作说明</w:t>
      </w:r>
    </w:p>
    <w:p w14:paraId="1B60CADC">
      <w:pPr>
        <w:spacing w:before="120" w:after="120" w:line="288" w:lineRule="auto"/>
        <w:ind w:left="0" w:firstLine="0"/>
        <w:jc w:val="left"/>
      </w:pPr>
      <w:r>
        <w:rPr>
          <w:rFonts w:ascii="Arial" w:hAnsi="Arial" w:eastAsia="等线" w:cs="Arial"/>
          <w:sz w:val="22"/>
        </w:rPr>
        <w:t>此模块用以配置各月各交易中心的交易事件。</w:t>
      </w:r>
    </w:p>
    <w:p w14:paraId="524AA91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291715"/>
            <wp:effectExtent l="0" t="0" r="12700" b="13335"/>
            <wp:docPr id="1359" name="图片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 name="图片 1359"/>
                    <pic:cNvPicPr>
                      <a:picLocks noChangeAspect="1"/>
                    </pic:cNvPicPr>
                  </pic:nvPicPr>
                  <pic:blipFill>
                    <a:blip r:embed="rId97"/>
                    <a:stretch>
                      <a:fillRect/>
                    </a:stretch>
                  </pic:blipFill>
                  <pic:spPr>
                    <a:xfrm>
                      <a:off x="0" y="0"/>
                      <a:ext cx="5264150" cy="2291715"/>
                    </a:xfrm>
                    <a:prstGeom prst="rect">
                      <a:avLst/>
                    </a:prstGeom>
                  </pic:spPr>
                </pic:pic>
              </a:graphicData>
            </a:graphic>
          </wp:inline>
        </w:drawing>
      </w:r>
    </w:p>
    <w:p w14:paraId="3F706140">
      <w:pPr>
        <w:spacing w:before="120" w:after="120" w:line="288" w:lineRule="auto"/>
        <w:ind w:left="0" w:firstLine="0"/>
        <w:jc w:val="left"/>
      </w:pPr>
      <w:r>
        <w:rPr>
          <w:rFonts w:ascii="Arial" w:hAnsi="Arial" w:eastAsia="等线" w:cs="Arial"/>
          <w:sz w:val="22"/>
        </w:rPr>
        <w:t>点击任意日期位置，以创建一个交易事件。</w:t>
      </w:r>
    </w:p>
    <w:p w14:paraId="0FBD9D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444115"/>
            <wp:effectExtent l="0" t="0" r="13335" b="13335"/>
            <wp:docPr id="1360" name="图片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图片 1360"/>
                    <pic:cNvPicPr>
                      <a:picLocks noChangeAspect="1"/>
                    </pic:cNvPicPr>
                  </pic:nvPicPr>
                  <pic:blipFill>
                    <a:blip r:embed="rId98"/>
                    <a:stretch>
                      <a:fillRect/>
                    </a:stretch>
                  </pic:blipFill>
                  <pic:spPr>
                    <a:xfrm>
                      <a:off x="0" y="0"/>
                      <a:ext cx="5263515" cy="2444115"/>
                    </a:xfrm>
                    <a:prstGeom prst="rect">
                      <a:avLst/>
                    </a:prstGeom>
                  </pic:spPr>
                </pic:pic>
              </a:graphicData>
            </a:graphic>
          </wp:inline>
        </w:drawing>
      </w:r>
    </w:p>
    <w:p w14:paraId="5D209765">
      <w:pPr>
        <w:spacing w:before="120" w:after="120" w:line="288" w:lineRule="auto"/>
        <w:ind w:left="0" w:firstLine="0"/>
        <w:jc w:val="left"/>
      </w:pPr>
      <w:r>
        <w:rPr>
          <w:rFonts w:ascii="Arial" w:hAnsi="Arial" w:eastAsia="等线" w:cs="Arial"/>
          <w:sz w:val="22"/>
        </w:rPr>
        <w:t>配置该事件的事件时间、交易名称、交易标的时间。确定后即完成事件配置。</w:t>
      </w:r>
    </w:p>
    <w:p w14:paraId="39B68580">
      <w:pPr>
        <w:spacing w:before="120" w:after="120" w:line="288" w:lineRule="auto"/>
        <w:ind w:left="0" w:firstLine="0"/>
        <w:jc w:val="left"/>
      </w:pPr>
      <w:r>
        <w:rPr>
          <w:rFonts w:ascii="Arial" w:hAnsi="Arial" w:eastAsia="等线" w:cs="Arial"/>
          <w:sz w:val="22"/>
        </w:rPr>
        <w:t>点击月/周以切换不同的展示样式。</w:t>
      </w:r>
    </w:p>
    <w:p w14:paraId="47BED61B">
      <w:pPr>
        <w:spacing w:before="300" w:after="120" w:line="288" w:lineRule="auto"/>
        <w:ind w:left="0"/>
        <w:jc w:val="left"/>
        <w:outlineLvl w:val="2"/>
      </w:pPr>
      <w:bookmarkStart w:id="29" w:name="heading_205"/>
      <w:r>
        <w:rPr>
          <w:rFonts w:hint="eastAsia" w:ascii="Arial" w:hAnsi="Arial" w:eastAsia="等线" w:cs="Arial"/>
          <w:b/>
          <w:sz w:val="30"/>
          <w:szCs w:val="30"/>
          <w:lang w:val="en-US" w:eastAsia="zh-CN"/>
        </w:rPr>
        <w:t>6</w:t>
      </w:r>
      <w:r>
        <w:rPr>
          <w:rFonts w:ascii="Arial" w:hAnsi="Arial" w:eastAsia="等线" w:cs="Arial"/>
          <w:b/>
          <w:sz w:val="30"/>
          <w:szCs w:val="30"/>
        </w:rPr>
        <w:t>.5 节假日管理</w:t>
      </w:r>
      <w:bookmarkEnd w:id="29"/>
    </w:p>
    <w:p w14:paraId="150BADE3">
      <w:pPr>
        <w:spacing w:before="240" w:after="80" w:line="288" w:lineRule="auto"/>
        <w:outlineLvl w:val="3"/>
      </w:pPr>
      <w:r>
        <w:rPr>
          <w:rFonts w:ascii="Arial" w:hAnsi="Arial" w:eastAsia="等线" w:cs="Arial"/>
          <w:b/>
          <w:sz w:val="26"/>
          <w:szCs w:val="26"/>
        </w:rPr>
        <w:t>模块简介</w:t>
      </w:r>
    </w:p>
    <w:p w14:paraId="14DFF802">
      <w:pPr>
        <w:spacing w:before="240" w:after="80" w:line="288" w:lineRule="auto"/>
        <w:outlineLvl w:val="3"/>
      </w:pPr>
      <w:r>
        <w:rPr>
          <w:rFonts w:ascii="Arial" w:hAnsi="Arial" w:eastAsia="等线" w:cs="Arial"/>
          <w:b/>
          <w:sz w:val="26"/>
          <w:szCs w:val="26"/>
        </w:rPr>
        <w:t>操作说明</w:t>
      </w:r>
    </w:p>
    <w:p w14:paraId="34D20AB2">
      <w:pPr>
        <w:spacing w:before="120" w:after="120" w:line="288" w:lineRule="auto"/>
        <w:ind w:left="0"/>
        <w:jc w:val="left"/>
      </w:pPr>
      <w:r>
        <w:rPr>
          <w:rFonts w:ascii="Arial" w:hAnsi="Arial" w:eastAsia="等线" w:cs="Arial"/>
          <w:sz w:val="22"/>
        </w:rPr>
        <w:t>配置维护各年的法定节假日的假期、调休日信息</w:t>
      </w:r>
    </w:p>
    <w:p w14:paraId="44FE7CC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163955"/>
            <wp:effectExtent l="0" t="0" r="17780" b="17145"/>
            <wp:docPr id="1361" name="图片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图片 1361"/>
                    <pic:cNvPicPr>
                      <a:picLocks noChangeAspect="1"/>
                    </pic:cNvPicPr>
                  </pic:nvPicPr>
                  <pic:blipFill>
                    <a:blip r:embed="rId99"/>
                    <a:stretch>
                      <a:fillRect/>
                    </a:stretch>
                  </pic:blipFill>
                  <pic:spPr>
                    <a:xfrm>
                      <a:off x="0" y="0"/>
                      <a:ext cx="5259070" cy="1163955"/>
                    </a:xfrm>
                    <a:prstGeom prst="rect">
                      <a:avLst/>
                    </a:prstGeom>
                  </pic:spPr>
                </pic:pic>
              </a:graphicData>
            </a:graphic>
          </wp:inline>
        </w:drawing>
      </w:r>
    </w:p>
    <w:p w14:paraId="06E325ED">
      <w:pPr>
        <w:spacing w:before="300" w:after="120" w:line="288" w:lineRule="auto"/>
        <w:ind w:left="0"/>
        <w:jc w:val="left"/>
        <w:outlineLvl w:val="2"/>
      </w:pPr>
      <w:bookmarkStart w:id="30" w:name="heading_206"/>
      <w:r>
        <w:rPr>
          <w:rFonts w:hint="eastAsia" w:ascii="Arial" w:hAnsi="Arial" w:eastAsia="等线" w:cs="Arial"/>
          <w:b/>
          <w:sz w:val="30"/>
          <w:szCs w:val="30"/>
          <w:lang w:val="en-US" w:eastAsia="zh-CN"/>
        </w:rPr>
        <w:t>6</w:t>
      </w:r>
      <w:r>
        <w:rPr>
          <w:rFonts w:ascii="Arial" w:hAnsi="Arial" w:eastAsia="等线" w:cs="Arial"/>
          <w:b/>
          <w:sz w:val="30"/>
          <w:szCs w:val="30"/>
        </w:rPr>
        <w:t xml:space="preserve">.6 </w:t>
      </w:r>
      <w:bookmarkEnd w:id="30"/>
      <w:r>
        <w:rPr>
          <w:rFonts w:ascii="Arial" w:hAnsi="Arial" w:eastAsia="等线" w:cs="Arial"/>
          <w:b/>
          <w:sz w:val="30"/>
          <w:szCs w:val="30"/>
        </w:rPr>
        <w:t>典型分解曲线</w:t>
      </w:r>
    </w:p>
    <w:p w14:paraId="6F78EED1">
      <w:pPr>
        <w:spacing w:before="240" w:after="80" w:line="288" w:lineRule="auto"/>
        <w:outlineLvl w:val="3"/>
      </w:pPr>
      <w:r>
        <w:rPr>
          <w:rFonts w:ascii="Arial" w:hAnsi="Arial" w:eastAsia="等线" w:cs="Arial"/>
          <w:b/>
          <w:sz w:val="26"/>
          <w:szCs w:val="26"/>
        </w:rPr>
        <w:t>模块简介</w:t>
      </w:r>
    </w:p>
    <w:p w14:paraId="1D324CF8">
      <w:pPr>
        <w:spacing w:before="240" w:after="80" w:line="288" w:lineRule="auto"/>
        <w:outlineLvl w:val="3"/>
      </w:pPr>
      <w:r>
        <w:rPr>
          <w:rFonts w:ascii="Arial" w:hAnsi="Arial" w:eastAsia="等线" w:cs="Arial"/>
          <w:b/>
          <w:sz w:val="26"/>
          <w:szCs w:val="26"/>
        </w:rPr>
        <w:t>操作说明</w:t>
      </w:r>
    </w:p>
    <w:p w14:paraId="5E3B4DA7">
      <w:pPr>
        <w:spacing w:before="120" w:after="120" w:line="288" w:lineRule="auto"/>
        <w:ind w:left="0"/>
        <w:jc w:val="left"/>
      </w:pPr>
      <w:r>
        <w:rPr>
          <w:rFonts w:ascii="Arial" w:hAnsi="Arial" w:eastAsia="等线" w:cs="Arial"/>
          <w:sz w:val="22"/>
        </w:rPr>
        <w:t>典型曲线主要影响典型曲线上传方式下的持仓电量拆解，中长期策略模拟里统调拆解方式等。依据交易中心每年发布的典型曲线，1：1配置即可。</w:t>
      </w:r>
    </w:p>
    <w:p w14:paraId="0AEDEB3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705" cy="1243330"/>
            <wp:effectExtent l="0" t="0" r="17145" b="13970"/>
            <wp:docPr id="1362" name="图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图片 1362"/>
                    <pic:cNvPicPr>
                      <a:picLocks noChangeAspect="1"/>
                    </pic:cNvPicPr>
                  </pic:nvPicPr>
                  <pic:blipFill>
                    <a:blip r:embed="rId100"/>
                    <a:stretch>
                      <a:fillRect/>
                    </a:stretch>
                  </pic:blipFill>
                  <pic:spPr>
                    <a:xfrm>
                      <a:off x="0" y="0"/>
                      <a:ext cx="5259705" cy="1243330"/>
                    </a:xfrm>
                    <a:prstGeom prst="rect">
                      <a:avLst/>
                    </a:prstGeom>
                  </pic:spPr>
                </pic:pic>
              </a:graphicData>
            </a:graphic>
          </wp:inline>
        </w:drawing>
      </w:r>
    </w:p>
    <w:p w14:paraId="456D652F">
      <w:pPr>
        <w:spacing w:before="300" w:after="120" w:line="288" w:lineRule="auto"/>
        <w:ind w:left="0"/>
        <w:jc w:val="left"/>
        <w:outlineLvl w:val="2"/>
      </w:pPr>
      <w:bookmarkStart w:id="31" w:name="heading_207"/>
      <w:r>
        <w:rPr>
          <w:rFonts w:hint="eastAsia" w:ascii="Arial" w:hAnsi="Arial" w:eastAsia="等线" w:cs="Arial"/>
          <w:b/>
          <w:sz w:val="30"/>
          <w:szCs w:val="30"/>
          <w:lang w:val="en-US" w:eastAsia="zh-CN"/>
        </w:rPr>
        <w:t>6</w:t>
      </w:r>
      <w:r>
        <w:rPr>
          <w:rFonts w:ascii="Arial" w:hAnsi="Arial" w:eastAsia="等线" w:cs="Arial"/>
          <w:b/>
          <w:sz w:val="30"/>
          <w:szCs w:val="30"/>
        </w:rPr>
        <w:t xml:space="preserve">.7 </w:t>
      </w:r>
      <w:bookmarkEnd w:id="31"/>
      <w:r>
        <w:rPr>
          <w:rFonts w:ascii="Arial" w:hAnsi="Arial" w:eastAsia="等线" w:cs="Arial"/>
          <w:b/>
          <w:sz w:val="30"/>
          <w:szCs w:val="30"/>
        </w:rPr>
        <w:t>零售套餐类型</w:t>
      </w:r>
    </w:p>
    <w:p w14:paraId="029053DB">
      <w:pPr>
        <w:spacing w:before="240" w:after="80" w:line="288" w:lineRule="auto"/>
        <w:outlineLvl w:val="3"/>
      </w:pPr>
      <w:r>
        <w:rPr>
          <w:rFonts w:ascii="Arial" w:hAnsi="Arial" w:eastAsia="等线" w:cs="Arial"/>
          <w:b/>
          <w:sz w:val="26"/>
          <w:szCs w:val="26"/>
        </w:rPr>
        <w:t>模块简介</w:t>
      </w:r>
    </w:p>
    <w:p w14:paraId="54D1848B">
      <w:pPr>
        <w:spacing w:before="240" w:after="80" w:line="288" w:lineRule="auto"/>
        <w:outlineLvl w:val="3"/>
      </w:pPr>
      <w:r>
        <w:rPr>
          <w:rFonts w:ascii="Arial" w:hAnsi="Arial" w:eastAsia="等线" w:cs="Arial"/>
          <w:b/>
          <w:sz w:val="26"/>
          <w:szCs w:val="26"/>
        </w:rPr>
        <w:t>操作说明</w:t>
      </w:r>
    </w:p>
    <w:p w14:paraId="304DD245">
      <w:pPr>
        <w:spacing w:before="120" w:after="120" w:line="288" w:lineRule="auto"/>
        <w:ind w:left="0" w:firstLine="0"/>
        <w:jc w:val="left"/>
      </w:pPr>
      <w:r>
        <w:rPr>
          <w:rFonts w:ascii="Arial" w:hAnsi="Arial" w:eastAsia="等线" w:cs="Arial"/>
          <w:sz w:val="22"/>
        </w:rPr>
        <w:t>此模块用以查看平台内支持的套餐内容</w:t>
      </w:r>
    </w:p>
    <w:p w14:paraId="40D5330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245" cy="906780"/>
            <wp:effectExtent l="0" t="0" r="14605" b="762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 name="图片 1363"/>
                    <pic:cNvPicPr>
                      <a:picLocks noChangeAspect="1"/>
                    </pic:cNvPicPr>
                  </pic:nvPicPr>
                  <pic:blipFill>
                    <a:blip r:embed="rId101"/>
                    <a:stretch>
                      <a:fillRect/>
                    </a:stretch>
                  </pic:blipFill>
                  <pic:spPr>
                    <a:xfrm>
                      <a:off x="0" y="0"/>
                      <a:ext cx="5262245" cy="906780"/>
                    </a:xfrm>
                    <a:prstGeom prst="rect">
                      <a:avLst/>
                    </a:prstGeom>
                  </pic:spPr>
                </pic:pic>
              </a:graphicData>
            </a:graphic>
          </wp:inline>
        </w:drawing>
      </w:r>
    </w:p>
    <w:p w14:paraId="53277699">
      <w:pPr>
        <w:spacing w:before="300" w:after="120" w:line="288" w:lineRule="auto"/>
        <w:ind w:left="0"/>
        <w:jc w:val="left"/>
        <w:outlineLvl w:val="2"/>
        <w:rPr>
          <w:rFonts w:hint="default" w:ascii="Arial" w:hAnsi="Arial" w:eastAsia="等线" w:cs="Arial"/>
          <w:b/>
          <w:sz w:val="30"/>
          <w:lang w:val="en-US" w:eastAsia="zh-CN"/>
        </w:rPr>
      </w:pPr>
      <w:r>
        <w:rPr>
          <w:rFonts w:hint="eastAsia" w:ascii="Arial" w:hAnsi="Arial" w:eastAsia="等线" w:cs="Arial"/>
          <w:b/>
          <w:sz w:val="30"/>
          <w:szCs w:val="30"/>
          <w:lang w:val="en-US" w:eastAsia="zh-CN"/>
        </w:rPr>
        <w:t>6.8月度市场参数</w:t>
      </w:r>
    </w:p>
    <w:p w14:paraId="72F06DF9">
      <w:pPr>
        <w:spacing w:before="240" w:after="80" w:line="288" w:lineRule="auto"/>
        <w:outlineLvl w:val="3"/>
        <w:rPr>
          <w:rFonts w:ascii="Arial" w:hAnsi="Arial" w:eastAsia="等线" w:cs="Arial"/>
          <w:b/>
          <w:sz w:val="26"/>
          <w:szCs w:val="26"/>
        </w:rPr>
      </w:pPr>
      <w:r>
        <w:rPr>
          <w:rFonts w:ascii="Arial" w:hAnsi="Arial" w:eastAsia="等线" w:cs="Arial"/>
          <w:b/>
          <w:sz w:val="26"/>
          <w:szCs w:val="26"/>
        </w:rPr>
        <w:t>模块简介</w:t>
      </w:r>
    </w:p>
    <w:p w14:paraId="11B5D57B">
      <w:pPr>
        <w:spacing w:before="120" w:after="120" w:line="288" w:lineRule="auto"/>
        <w:ind w:left="0" w:firstLine="0"/>
        <w:jc w:val="left"/>
      </w:pPr>
      <w:r>
        <w:rPr>
          <w:rFonts w:ascii="Arial" w:hAnsi="Arial" w:eastAsia="等线" w:cs="Arial"/>
          <w:sz w:val="22"/>
        </w:rPr>
        <w:t>此模块用以维护并确认各月的市场均价信息</w:t>
      </w:r>
    </w:p>
    <w:p w14:paraId="3894A426">
      <w:pPr>
        <w:spacing w:before="240" w:after="80" w:line="288" w:lineRule="auto"/>
        <w:outlineLvl w:val="3"/>
        <w:rPr>
          <w:rFonts w:ascii="Arial" w:hAnsi="Arial" w:eastAsia="等线" w:cs="Arial"/>
          <w:b/>
          <w:sz w:val="26"/>
          <w:szCs w:val="26"/>
        </w:rPr>
      </w:pPr>
    </w:p>
    <w:p w14:paraId="501C748F">
      <w:pPr>
        <w:spacing w:before="240" w:after="80" w:line="288" w:lineRule="auto"/>
        <w:outlineLvl w:val="3"/>
      </w:pPr>
      <w:r>
        <w:rPr>
          <w:rFonts w:ascii="Arial" w:hAnsi="Arial" w:eastAsia="等线" w:cs="Arial"/>
          <w:b/>
          <w:sz w:val="26"/>
          <w:szCs w:val="26"/>
        </w:rPr>
        <w:t>操作说明</w:t>
      </w:r>
    </w:p>
    <w:p w14:paraId="7577294F">
      <w:pPr>
        <w:spacing w:before="120" w:after="120" w:line="288" w:lineRule="auto"/>
        <w:ind w:left="0"/>
        <w:jc w:val="both"/>
        <w:rPr>
          <w:rFonts w:hint="eastAsia" w:eastAsiaTheme="minorEastAsia"/>
          <w:lang w:eastAsia="zh"/>
        </w:rPr>
      </w:pPr>
      <w:r>
        <w:rPr>
          <w:rFonts w:hint="eastAsia" w:eastAsiaTheme="minorEastAsia"/>
          <w:lang w:eastAsia="zh"/>
        </w:rPr>
        <w:drawing>
          <wp:inline distT="0" distB="0" distL="114300" distR="114300">
            <wp:extent cx="5264785" cy="858520"/>
            <wp:effectExtent l="0" t="0" r="12065" b="17780"/>
            <wp:docPr id="1364" name="图片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 name="图片 1364"/>
                    <pic:cNvPicPr>
                      <a:picLocks noChangeAspect="1"/>
                    </pic:cNvPicPr>
                  </pic:nvPicPr>
                  <pic:blipFill>
                    <a:blip r:embed="rId102"/>
                    <a:stretch>
                      <a:fillRect/>
                    </a:stretch>
                  </pic:blipFill>
                  <pic:spPr>
                    <a:xfrm>
                      <a:off x="0" y="0"/>
                      <a:ext cx="5264785" cy="858520"/>
                    </a:xfrm>
                    <a:prstGeom prst="rect">
                      <a:avLst/>
                    </a:prstGeom>
                  </pic:spPr>
                </pic:pic>
              </a:graphicData>
            </a:graphic>
          </wp:inline>
        </w:drawing>
      </w:r>
    </w:p>
    <w:p w14:paraId="40DC1701">
      <w:pPr>
        <w:spacing w:before="120" w:after="120" w:line="288" w:lineRule="auto"/>
        <w:ind w:left="0" w:firstLine="0"/>
        <w:jc w:val="left"/>
      </w:pPr>
      <w:r>
        <w:rPr>
          <w:rFonts w:ascii="Arial" w:hAnsi="Arial" w:eastAsia="等线" w:cs="Arial"/>
          <w:sz w:val="22"/>
        </w:rPr>
        <w:t>点击交易登记以进入维护页面。</w:t>
      </w:r>
    </w:p>
    <w:p w14:paraId="04DFA5D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2192020"/>
            <wp:effectExtent l="0" t="0" r="5715" b="17780"/>
            <wp:docPr id="1365" name="图片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 name="图片 1365"/>
                    <pic:cNvPicPr>
                      <a:picLocks noChangeAspect="1"/>
                    </pic:cNvPicPr>
                  </pic:nvPicPr>
                  <pic:blipFill>
                    <a:blip r:embed="rId103"/>
                    <a:stretch>
                      <a:fillRect/>
                    </a:stretch>
                  </pic:blipFill>
                  <pic:spPr>
                    <a:xfrm>
                      <a:off x="0" y="0"/>
                      <a:ext cx="5271135" cy="2192020"/>
                    </a:xfrm>
                    <a:prstGeom prst="rect">
                      <a:avLst/>
                    </a:prstGeom>
                  </pic:spPr>
                </pic:pic>
              </a:graphicData>
            </a:graphic>
          </wp:inline>
        </w:drawing>
      </w:r>
    </w:p>
    <w:p w14:paraId="3A986E40">
      <w:pPr>
        <w:spacing w:before="120" w:after="120" w:line="288" w:lineRule="auto"/>
        <w:ind w:left="0" w:firstLine="0"/>
        <w:jc w:val="left"/>
      </w:pPr>
      <w:r>
        <w:rPr>
          <w:rFonts w:ascii="Arial" w:hAnsi="Arial" w:eastAsia="等线" w:cs="Arial"/>
          <w:sz w:val="22"/>
        </w:rPr>
        <w:t>维护内容包括年度市场交易参考价、统调燃煤机组发电基准价、月度双边协商均价、月度集中竞价交易均价、月度市场交易参考价。维护的数据来源为各交易中心的月度发布内容。</w:t>
      </w:r>
    </w:p>
    <w:p w14:paraId="0203C96D">
      <w:pPr>
        <w:spacing w:before="120" w:after="120" w:line="288" w:lineRule="auto"/>
        <w:ind w:left="0" w:firstLine="0"/>
        <w:jc w:val="left"/>
      </w:pPr>
      <w:r>
        <w:rPr>
          <w:rFonts w:ascii="Arial" w:hAnsi="Arial" w:eastAsia="等线" w:cs="Arial"/>
          <w:sz w:val="22"/>
        </w:rPr>
        <w:t>点击确认登记以固化均价信息并应用于结算等。</w:t>
      </w:r>
    </w:p>
    <w:p w14:paraId="68CE6E19">
      <w:pPr>
        <w:spacing w:before="300" w:after="120" w:line="288" w:lineRule="auto"/>
        <w:ind w:left="0"/>
        <w:jc w:val="left"/>
        <w:outlineLvl w:val="2"/>
      </w:pPr>
      <w:bookmarkStart w:id="32" w:name="heading_208"/>
      <w:r>
        <w:rPr>
          <w:rFonts w:hint="eastAsia" w:ascii="Arial" w:hAnsi="Arial" w:eastAsia="等线" w:cs="Arial"/>
          <w:b/>
          <w:sz w:val="30"/>
          <w:szCs w:val="30"/>
          <w:lang w:val="en-US" w:eastAsia="zh-CN"/>
        </w:rPr>
        <w:t>6</w:t>
      </w:r>
      <w:r>
        <w:rPr>
          <w:rFonts w:ascii="Arial" w:hAnsi="Arial" w:eastAsia="等线" w:cs="Arial"/>
          <w:b/>
          <w:sz w:val="30"/>
          <w:szCs w:val="30"/>
        </w:rPr>
        <w:t>.9 现货市场电价</w:t>
      </w:r>
      <w:bookmarkEnd w:id="32"/>
    </w:p>
    <w:p w14:paraId="3B2AA242">
      <w:pPr>
        <w:spacing w:before="240" w:after="80" w:line="288" w:lineRule="auto"/>
        <w:outlineLvl w:val="3"/>
      </w:pPr>
      <w:r>
        <w:rPr>
          <w:rFonts w:ascii="Arial" w:hAnsi="Arial" w:eastAsia="等线" w:cs="Arial"/>
          <w:b/>
          <w:sz w:val="26"/>
          <w:szCs w:val="26"/>
        </w:rPr>
        <w:t>模块简介</w:t>
      </w:r>
    </w:p>
    <w:p w14:paraId="09D137C6">
      <w:pPr>
        <w:spacing w:before="240" w:after="80" w:line="288" w:lineRule="auto"/>
        <w:outlineLvl w:val="3"/>
      </w:pPr>
      <w:r>
        <w:rPr>
          <w:rFonts w:ascii="Arial" w:hAnsi="Arial" w:eastAsia="等线" w:cs="Arial"/>
          <w:b/>
          <w:sz w:val="26"/>
          <w:szCs w:val="26"/>
        </w:rPr>
        <w:t>操作说明</w:t>
      </w:r>
    </w:p>
    <w:p w14:paraId="1BD08AA5">
      <w:pPr>
        <w:spacing w:before="120" w:after="120" w:line="288" w:lineRule="auto"/>
        <w:ind w:left="0"/>
        <w:jc w:val="left"/>
      </w:pPr>
      <w:r>
        <w:rPr>
          <w:rFonts w:ascii="Arial" w:hAnsi="Arial" w:eastAsia="等线" w:cs="Arial"/>
          <w:sz w:val="22"/>
        </w:rPr>
        <w:t>依据交易中心每日更新的节点电价结算电价进行维护上传。需要交易中心已经开展现货业务。点击节点电价、结算电价进行分别配置。</w:t>
      </w:r>
    </w:p>
    <w:p w14:paraId="6141C2C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13435"/>
            <wp:effectExtent l="0" t="0" r="8890" b="5715"/>
            <wp:docPr id="1366" name="图片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图片 1366"/>
                    <pic:cNvPicPr>
                      <a:picLocks noChangeAspect="1"/>
                    </pic:cNvPicPr>
                  </pic:nvPicPr>
                  <pic:blipFill>
                    <a:blip r:embed="rId104"/>
                    <a:stretch>
                      <a:fillRect/>
                    </a:stretch>
                  </pic:blipFill>
                  <pic:spPr>
                    <a:xfrm>
                      <a:off x="0" y="0"/>
                      <a:ext cx="5267960" cy="813435"/>
                    </a:xfrm>
                    <a:prstGeom prst="rect">
                      <a:avLst/>
                    </a:prstGeom>
                  </pic:spPr>
                </pic:pic>
              </a:graphicData>
            </a:graphic>
          </wp:inline>
        </w:drawing>
      </w:r>
    </w:p>
    <w:p w14:paraId="2F851680">
      <w:pPr>
        <w:spacing w:before="120" w:after="120" w:line="288" w:lineRule="auto"/>
        <w:ind w:left="0"/>
        <w:jc w:val="left"/>
      </w:pPr>
      <w:r>
        <w:rPr>
          <w:rFonts w:ascii="Arial" w:hAnsi="Arial" w:eastAsia="等线" w:cs="Arial"/>
          <w:sz w:val="22"/>
        </w:rPr>
        <w:t>点击上传电价数据，依据模板下载后编辑维护上传即可。</w:t>
      </w:r>
    </w:p>
    <w:p w14:paraId="7A00A3F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975" cy="2577465"/>
            <wp:effectExtent l="0" t="0" r="15875" b="13335"/>
            <wp:docPr id="1367" name="图片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 name="图片 1367"/>
                    <pic:cNvPicPr>
                      <a:picLocks noChangeAspect="1"/>
                    </pic:cNvPicPr>
                  </pic:nvPicPr>
                  <pic:blipFill>
                    <a:blip r:embed="rId105"/>
                    <a:stretch>
                      <a:fillRect/>
                    </a:stretch>
                  </pic:blipFill>
                  <pic:spPr>
                    <a:xfrm>
                      <a:off x="0" y="0"/>
                      <a:ext cx="5260975" cy="2577465"/>
                    </a:xfrm>
                    <a:prstGeom prst="rect">
                      <a:avLst/>
                    </a:prstGeom>
                  </pic:spPr>
                </pic:pic>
              </a:graphicData>
            </a:graphic>
          </wp:inline>
        </w:drawing>
      </w:r>
    </w:p>
    <w:p w14:paraId="4CF9AF36">
      <w:pPr>
        <w:spacing w:before="300" w:after="120" w:line="288" w:lineRule="auto"/>
        <w:ind w:left="0"/>
        <w:jc w:val="left"/>
        <w:outlineLvl w:val="2"/>
      </w:pPr>
      <w:bookmarkStart w:id="33" w:name="heading_209"/>
      <w:r>
        <w:rPr>
          <w:rFonts w:hint="eastAsia" w:ascii="Arial" w:hAnsi="Arial" w:eastAsia="等线" w:cs="Arial"/>
          <w:b/>
          <w:sz w:val="30"/>
          <w:szCs w:val="30"/>
          <w:lang w:val="en-US" w:eastAsia="zh-CN"/>
        </w:rPr>
        <w:t>6</w:t>
      </w:r>
      <w:r>
        <w:rPr>
          <w:rFonts w:ascii="Arial" w:hAnsi="Arial" w:eastAsia="等线" w:cs="Arial"/>
          <w:b/>
          <w:sz w:val="30"/>
          <w:szCs w:val="30"/>
        </w:rPr>
        <w:t>.10 电价预测披露</w:t>
      </w:r>
      <w:bookmarkEnd w:id="33"/>
    </w:p>
    <w:p w14:paraId="4D8841C6">
      <w:pPr>
        <w:spacing w:before="240" w:after="80" w:line="288" w:lineRule="auto"/>
        <w:outlineLvl w:val="3"/>
      </w:pPr>
      <w:r>
        <w:rPr>
          <w:rFonts w:ascii="Arial" w:hAnsi="Arial" w:eastAsia="等线" w:cs="Arial"/>
          <w:b/>
          <w:sz w:val="26"/>
          <w:szCs w:val="26"/>
        </w:rPr>
        <w:t>模块简介</w:t>
      </w:r>
    </w:p>
    <w:p w14:paraId="73DAADD8">
      <w:pPr>
        <w:spacing w:before="240" w:after="80" w:line="288" w:lineRule="auto"/>
        <w:outlineLvl w:val="3"/>
      </w:pPr>
      <w:r>
        <w:rPr>
          <w:rFonts w:ascii="Arial" w:hAnsi="Arial" w:eastAsia="等线" w:cs="Arial"/>
          <w:b/>
          <w:sz w:val="26"/>
          <w:szCs w:val="26"/>
        </w:rPr>
        <w:t>操作说明</w:t>
      </w:r>
    </w:p>
    <w:p w14:paraId="666D8816">
      <w:pPr>
        <w:spacing w:before="120" w:after="120" w:line="288" w:lineRule="auto"/>
        <w:ind w:left="0"/>
        <w:jc w:val="left"/>
      </w:pPr>
      <w:r>
        <w:rPr>
          <w:rFonts w:ascii="Arial" w:hAnsi="Arial" w:eastAsia="等线" w:cs="Arial"/>
          <w:sz w:val="22"/>
        </w:rPr>
        <w:t>维护价格、价差等市场统一的算法预测结果及更新。点击详情以进入。</w:t>
      </w:r>
    </w:p>
    <w:p w14:paraId="498367ED">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004570"/>
            <wp:effectExtent l="0" t="0" r="9525" b="5080"/>
            <wp:docPr id="1368" name="图片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 name="图片 1368"/>
                    <pic:cNvPicPr>
                      <a:picLocks noChangeAspect="1"/>
                    </pic:cNvPicPr>
                  </pic:nvPicPr>
                  <pic:blipFill>
                    <a:blip r:embed="rId106"/>
                    <a:stretch>
                      <a:fillRect/>
                    </a:stretch>
                  </pic:blipFill>
                  <pic:spPr>
                    <a:xfrm>
                      <a:off x="0" y="0"/>
                      <a:ext cx="5267325" cy="1004570"/>
                    </a:xfrm>
                    <a:prstGeom prst="rect">
                      <a:avLst/>
                    </a:prstGeom>
                  </pic:spPr>
                </pic:pic>
              </a:graphicData>
            </a:graphic>
          </wp:inline>
        </w:drawing>
      </w:r>
    </w:p>
    <w:p w14:paraId="26CE5146">
      <w:pPr>
        <w:spacing w:before="120" w:after="120" w:line="288" w:lineRule="auto"/>
        <w:ind w:left="0"/>
        <w:jc w:val="left"/>
      </w:pPr>
      <w:r>
        <w:rPr>
          <w:rFonts w:ascii="Arial" w:hAnsi="Arial" w:eastAsia="等线" w:cs="Arial"/>
          <w:sz w:val="22"/>
        </w:rPr>
        <w:t>勾选数据后，更新算法将会亮起可用。平台算法会每日定时自动更新，仅在更新失败或数据丢失的时候需要手动进行。缺失哪些数据都会在数据缺失原因里表示出来，对照修改后重新上传即可。</w:t>
      </w:r>
    </w:p>
    <w:p w14:paraId="2843D26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8595" cy="2472055"/>
            <wp:effectExtent l="0" t="0" r="8255" b="4445"/>
            <wp:docPr id="1369" name="图片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 name="图片 1369"/>
                    <pic:cNvPicPr>
                      <a:picLocks noChangeAspect="1"/>
                    </pic:cNvPicPr>
                  </pic:nvPicPr>
                  <pic:blipFill>
                    <a:blip r:embed="rId107"/>
                    <a:stretch>
                      <a:fillRect/>
                    </a:stretch>
                  </pic:blipFill>
                  <pic:spPr>
                    <a:xfrm>
                      <a:off x="0" y="0"/>
                      <a:ext cx="5268595" cy="2472055"/>
                    </a:xfrm>
                    <a:prstGeom prst="rect">
                      <a:avLst/>
                    </a:prstGeom>
                  </pic:spPr>
                </pic:pic>
              </a:graphicData>
            </a:graphic>
          </wp:inline>
        </w:drawing>
      </w:r>
    </w:p>
    <w:p w14:paraId="58631096">
      <w:pPr>
        <w:spacing w:before="300" w:after="120" w:line="288" w:lineRule="auto"/>
        <w:ind w:left="0"/>
        <w:jc w:val="left"/>
        <w:outlineLvl w:val="2"/>
      </w:pPr>
      <w:bookmarkStart w:id="34" w:name="heading_210"/>
      <w:r>
        <w:rPr>
          <w:rFonts w:hint="eastAsia" w:ascii="Arial" w:hAnsi="Arial" w:eastAsia="等线" w:cs="Arial"/>
          <w:b/>
          <w:sz w:val="30"/>
          <w:szCs w:val="30"/>
          <w:lang w:val="en-US" w:eastAsia="zh-CN"/>
        </w:rPr>
        <w:t>6</w:t>
      </w:r>
      <w:r>
        <w:rPr>
          <w:rFonts w:ascii="Arial" w:hAnsi="Arial" w:eastAsia="等线" w:cs="Arial"/>
          <w:b/>
          <w:sz w:val="30"/>
          <w:szCs w:val="30"/>
        </w:rPr>
        <w:t>.11 电网预测信息</w:t>
      </w:r>
      <w:bookmarkEnd w:id="34"/>
    </w:p>
    <w:p w14:paraId="440C159C">
      <w:pPr>
        <w:spacing w:before="240" w:after="80" w:line="288" w:lineRule="auto"/>
        <w:outlineLvl w:val="3"/>
      </w:pPr>
      <w:r>
        <w:rPr>
          <w:rFonts w:ascii="Arial" w:hAnsi="Arial" w:eastAsia="等线" w:cs="Arial"/>
          <w:b/>
          <w:sz w:val="26"/>
          <w:szCs w:val="26"/>
        </w:rPr>
        <w:t>模块简介</w:t>
      </w:r>
    </w:p>
    <w:p w14:paraId="4B27A7DB">
      <w:pPr>
        <w:spacing w:before="240" w:after="80" w:line="288" w:lineRule="auto"/>
        <w:outlineLvl w:val="3"/>
      </w:pPr>
      <w:r>
        <w:rPr>
          <w:rFonts w:ascii="Arial" w:hAnsi="Arial" w:eastAsia="等线" w:cs="Arial"/>
          <w:b/>
          <w:sz w:val="26"/>
          <w:szCs w:val="26"/>
        </w:rPr>
        <w:t>操作说明</w:t>
      </w:r>
    </w:p>
    <w:p w14:paraId="2357224B">
      <w:pPr>
        <w:spacing w:before="120" w:after="120" w:line="288" w:lineRule="auto"/>
        <w:ind w:left="0"/>
        <w:jc w:val="left"/>
      </w:pPr>
      <w:r>
        <w:rPr>
          <w:rFonts w:ascii="Arial" w:hAnsi="Arial" w:eastAsia="等线" w:cs="Arial"/>
          <w:sz w:val="22"/>
        </w:rPr>
        <w:t>依据交易中心的披露的市场统一信息进行维护，以用作现货价格、价差的预测。</w:t>
      </w:r>
    </w:p>
    <w:p w14:paraId="468C2A2E">
      <w:pPr>
        <w:spacing w:before="120" w:after="120" w:line="288" w:lineRule="auto"/>
        <w:ind w:left="0"/>
        <w:jc w:val="left"/>
      </w:pPr>
      <w:r>
        <w:rPr>
          <w:rFonts w:ascii="Arial" w:hAnsi="Arial" w:eastAsia="等线" w:cs="Arial"/>
          <w:sz w:val="22"/>
        </w:rPr>
        <w:t>点击编辑进入对应交易中心的维护。</w:t>
      </w:r>
    </w:p>
    <w:p w14:paraId="69F2F2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880" cy="793750"/>
            <wp:effectExtent l="0" t="0" r="13970" b="6350"/>
            <wp:docPr id="1370" name="图片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 name="图片 1370"/>
                    <pic:cNvPicPr>
                      <a:picLocks noChangeAspect="1"/>
                    </pic:cNvPicPr>
                  </pic:nvPicPr>
                  <pic:blipFill>
                    <a:blip r:embed="rId108"/>
                    <a:stretch>
                      <a:fillRect/>
                    </a:stretch>
                  </pic:blipFill>
                  <pic:spPr>
                    <a:xfrm>
                      <a:off x="0" y="0"/>
                      <a:ext cx="5262880" cy="793750"/>
                    </a:xfrm>
                    <a:prstGeom prst="rect">
                      <a:avLst/>
                    </a:prstGeom>
                  </pic:spPr>
                </pic:pic>
              </a:graphicData>
            </a:graphic>
          </wp:inline>
        </w:drawing>
      </w:r>
    </w:p>
    <w:p w14:paraId="3CD20B09">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05CA0472">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1249680"/>
            <wp:effectExtent l="0" t="0" r="5080" b="7620"/>
            <wp:docPr id="1371" name="图片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 name="图片 1371"/>
                    <pic:cNvPicPr>
                      <a:picLocks noChangeAspect="1"/>
                    </pic:cNvPicPr>
                  </pic:nvPicPr>
                  <pic:blipFill>
                    <a:blip r:embed="rId109"/>
                    <a:stretch>
                      <a:fillRect/>
                    </a:stretch>
                  </pic:blipFill>
                  <pic:spPr>
                    <a:xfrm>
                      <a:off x="0" y="0"/>
                      <a:ext cx="5271770" cy="1249680"/>
                    </a:xfrm>
                    <a:prstGeom prst="rect">
                      <a:avLst/>
                    </a:prstGeom>
                  </pic:spPr>
                </pic:pic>
              </a:graphicData>
            </a:graphic>
          </wp:inline>
        </w:drawing>
      </w:r>
    </w:p>
    <w:p w14:paraId="6A145640">
      <w:pPr>
        <w:spacing w:before="300" w:after="120" w:line="288" w:lineRule="auto"/>
        <w:ind w:left="0"/>
        <w:jc w:val="left"/>
        <w:outlineLvl w:val="2"/>
      </w:pPr>
      <w:bookmarkStart w:id="35" w:name="heading_211"/>
      <w:r>
        <w:rPr>
          <w:rFonts w:hint="eastAsia" w:ascii="Arial" w:hAnsi="Arial" w:eastAsia="等线" w:cs="Arial"/>
          <w:b/>
          <w:sz w:val="30"/>
          <w:szCs w:val="30"/>
          <w:lang w:val="en-US" w:eastAsia="zh-CN"/>
        </w:rPr>
        <w:t>6</w:t>
      </w:r>
      <w:r>
        <w:rPr>
          <w:rFonts w:ascii="Arial" w:hAnsi="Arial" w:eastAsia="等线" w:cs="Arial"/>
          <w:b/>
          <w:sz w:val="30"/>
          <w:szCs w:val="30"/>
        </w:rPr>
        <w:t>.12 电网实际信息</w:t>
      </w:r>
      <w:bookmarkEnd w:id="35"/>
    </w:p>
    <w:p w14:paraId="640DA0AD">
      <w:pPr>
        <w:spacing w:before="240" w:after="80" w:line="288" w:lineRule="auto"/>
        <w:outlineLvl w:val="3"/>
      </w:pPr>
      <w:r>
        <w:rPr>
          <w:rFonts w:ascii="Arial" w:hAnsi="Arial" w:eastAsia="等线" w:cs="Arial"/>
          <w:b/>
          <w:sz w:val="26"/>
          <w:szCs w:val="26"/>
        </w:rPr>
        <w:t>模块简介</w:t>
      </w:r>
    </w:p>
    <w:p w14:paraId="27D6A79B">
      <w:pPr>
        <w:spacing w:before="120" w:after="120" w:line="288" w:lineRule="auto"/>
        <w:ind w:left="0"/>
        <w:jc w:val="left"/>
        <w:rPr>
          <w:rFonts w:ascii="Arial" w:hAnsi="Arial" w:eastAsia="等线" w:cs="Arial"/>
          <w:sz w:val="22"/>
        </w:rPr>
      </w:pPr>
      <w:r>
        <w:rPr>
          <w:rFonts w:ascii="Arial" w:hAnsi="Arial" w:eastAsia="等线" w:cs="Arial"/>
          <w:sz w:val="22"/>
        </w:rPr>
        <w:t>依据交易中心的披露的市场统一信息进行维护，以用作现货价格、价差的预测。</w:t>
      </w:r>
    </w:p>
    <w:p w14:paraId="43B48E27">
      <w:pPr>
        <w:spacing w:before="240" w:after="80" w:line="288" w:lineRule="auto"/>
        <w:outlineLvl w:val="3"/>
        <w:rPr>
          <w:rFonts w:ascii="Arial" w:hAnsi="Arial" w:eastAsia="等线" w:cs="Arial"/>
          <w:sz w:val="22"/>
        </w:rPr>
      </w:pPr>
      <w:r>
        <w:rPr>
          <w:rFonts w:ascii="Arial" w:hAnsi="Arial" w:eastAsia="等线" w:cs="Arial"/>
          <w:b/>
          <w:sz w:val="26"/>
          <w:szCs w:val="26"/>
        </w:rPr>
        <w:t>操作说明</w:t>
      </w:r>
    </w:p>
    <w:p w14:paraId="33E3B58F">
      <w:pPr>
        <w:spacing w:before="120" w:after="120" w:line="288" w:lineRule="auto"/>
        <w:ind w:left="0"/>
        <w:jc w:val="left"/>
      </w:pPr>
      <w:r>
        <w:rPr>
          <w:rFonts w:ascii="Arial" w:hAnsi="Arial" w:eastAsia="等线" w:cs="Arial"/>
          <w:sz w:val="22"/>
        </w:rPr>
        <w:t>点击编辑进入对应交易中心的维护。</w:t>
      </w:r>
    </w:p>
    <w:p w14:paraId="7B65224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45820"/>
            <wp:effectExtent l="0" t="0" r="8890" b="11430"/>
            <wp:docPr id="1372" name="图片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图片 1372"/>
                    <pic:cNvPicPr>
                      <a:picLocks noChangeAspect="1"/>
                    </pic:cNvPicPr>
                  </pic:nvPicPr>
                  <pic:blipFill>
                    <a:blip r:embed="rId110"/>
                    <a:stretch>
                      <a:fillRect/>
                    </a:stretch>
                  </pic:blipFill>
                  <pic:spPr>
                    <a:xfrm>
                      <a:off x="0" y="0"/>
                      <a:ext cx="5267960" cy="845820"/>
                    </a:xfrm>
                    <a:prstGeom prst="rect">
                      <a:avLst/>
                    </a:prstGeom>
                  </pic:spPr>
                </pic:pic>
              </a:graphicData>
            </a:graphic>
          </wp:inline>
        </w:drawing>
      </w:r>
    </w:p>
    <w:p w14:paraId="34E3574E">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2D91837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1357630"/>
            <wp:effectExtent l="0" t="0" r="6350" b="13970"/>
            <wp:docPr id="1373" name="图片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图片 1373"/>
                    <pic:cNvPicPr>
                      <a:picLocks noChangeAspect="1"/>
                    </pic:cNvPicPr>
                  </pic:nvPicPr>
                  <pic:blipFill>
                    <a:blip r:embed="rId111"/>
                    <a:stretch>
                      <a:fillRect/>
                    </a:stretch>
                  </pic:blipFill>
                  <pic:spPr>
                    <a:xfrm>
                      <a:off x="0" y="0"/>
                      <a:ext cx="5270500" cy="1357630"/>
                    </a:xfrm>
                    <a:prstGeom prst="rect">
                      <a:avLst/>
                    </a:prstGeom>
                  </pic:spPr>
                </pic:pic>
              </a:graphicData>
            </a:graphic>
          </wp:inline>
        </w:drawing>
      </w:r>
    </w:p>
    <w:p w14:paraId="7F7EA219">
      <w:pPr>
        <w:spacing w:before="300" w:after="120" w:line="288" w:lineRule="auto"/>
        <w:ind w:left="0"/>
        <w:jc w:val="left"/>
        <w:outlineLvl w:val="2"/>
      </w:pPr>
      <w:bookmarkStart w:id="36" w:name="heading_212"/>
      <w:r>
        <w:rPr>
          <w:rFonts w:hint="eastAsia" w:ascii="Arial" w:hAnsi="Arial" w:eastAsia="等线" w:cs="Arial"/>
          <w:b/>
          <w:sz w:val="30"/>
          <w:szCs w:val="30"/>
          <w:lang w:val="en-US" w:eastAsia="zh-CN"/>
        </w:rPr>
        <w:t>6</w:t>
      </w:r>
      <w:r>
        <w:rPr>
          <w:rFonts w:ascii="Arial" w:hAnsi="Arial" w:eastAsia="等线" w:cs="Arial"/>
          <w:b/>
          <w:sz w:val="30"/>
          <w:szCs w:val="30"/>
        </w:rPr>
        <w:t xml:space="preserve">.13 </w:t>
      </w:r>
      <w:bookmarkEnd w:id="36"/>
      <w:r>
        <w:rPr>
          <w:rFonts w:ascii="Arial" w:hAnsi="Arial" w:eastAsia="等线" w:cs="Arial"/>
          <w:b/>
          <w:sz w:val="30"/>
          <w:szCs w:val="30"/>
        </w:rPr>
        <w:t>用电类型配置</w:t>
      </w:r>
    </w:p>
    <w:p w14:paraId="05E7E416">
      <w:pPr>
        <w:spacing w:before="240" w:after="80" w:line="288" w:lineRule="auto"/>
        <w:outlineLvl w:val="3"/>
      </w:pPr>
      <w:r>
        <w:rPr>
          <w:rFonts w:ascii="Arial" w:hAnsi="Arial" w:eastAsia="等线" w:cs="Arial"/>
          <w:b/>
          <w:sz w:val="26"/>
          <w:szCs w:val="26"/>
        </w:rPr>
        <w:t>模块简介</w:t>
      </w:r>
    </w:p>
    <w:p w14:paraId="782B9C66">
      <w:pPr>
        <w:spacing w:before="120" w:after="120" w:line="288" w:lineRule="auto"/>
        <w:ind w:left="0" w:firstLine="0"/>
        <w:jc w:val="left"/>
      </w:pPr>
      <w:r>
        <w:rPr>
          <w:rFonts w:ascii="Arial" w:hAnsi="Arial" w:eastAsia="等线" w:cs="Arial"/>
          <w:sz w:val="22"/>
        </w:rPr>
        <w:t>此模块用以配置电价基础信息</w:t>
      </w:r>
    </w:p>
    <w:p w14:paraId="354A3E1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2420620"/>
            <wp:effectExtent l="0" t="0" r="8890" b="17780"/>
            <wp:docPr id="1374" name="图片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图片 1374"/>
                    <pic:cNvPicPr>
                      <a:picLocks noChangeAspect="1"/>
                    </pic:cNvPicPr>
                  </pic:nvPicPr>
                  <pic:blipFill>
                    <a:blip r:embed="rId112"/>
                    <a:stretch>
                      <a:fillRect/>
                    </a:stretch>
                  </pic:blipFill>
                  <pic:spPr>
                    <a:xfrm>
                      <a:off x="0" y="0"/>
                      <a:ext cx="5267960" cy="2420620"/>
                    </a:xfrm>
                    <a:prstGeom prst="rect">
                      <a:avLst/>
                    </a:prstGeom>
                  </pic:spPr>
                </pic:pic>
              </a:graphicData>
            </a:graphic>
          </wp:inline>
        </w:drawing>
      </w:r>
    </w:p>
    <w:p w14:paraId="16F33596">
      <w:pPr>
        <w:spacing w:before="240" w:after="80" w:line="288" w:lineRule="auto"/>
        <w:outlineLvl w:val="3"/>
        <w:rPr>
          <w:rFonts w:hint="eastAsia" w:eastAsiaTheme="minorEastAsia"/>
          <w:lang w:eastAsia="zh"/>
        </w:rPr>
      </w:pPr>
      <w:r>
        <w:rPr>
          <w:rFonts w:ascii="Arial" w:hAnsi="Arial" w:eastAsia="等线" w:cs="Arial"/>
          <w:b/>
          <w:sz w:val="26"/>
          <w:szCs w:val="26"/>
        </w:rPr>
        <w:t>操作说明</w:t>
      </w:r>
    </w:p>
    <w:p w14:paraId="73A6AFDF">
      <w:pPr>
        <w:spacing w:before="120" w:after="120" w:line="288" w:lineRule="auto"/>
        <w:ind w:left="0" w:firstLine="0"/>
        <w:jc w:val="left"/>
      </w:pPr>
      <w:r>
        <w:rPr>
          <w:rFonts w:ascii="Arial" w:hAnsi="Arial" w:eastAsia="等线" w:cs="Arial"/>
          <w:sz w:val="22"/>
        </w:rPr>
        <w:t>点击新增以创建新的标签信息</w:t>
      </w:r>
    </w:p>
    <w:p w14:paraId="165FD12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8435" cy="2750820"/>
            <wp:effectExtent l="0" t="0" r="18415" b="11430"/>
            <wp:docPr id="1375" name="图片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图片 1375"/>
                    <pic:cNvPicPr>
                      <a:picLocks noChangeAspect="1"/>
                    </pic:cNvPicPr>
                  </pic:nvPicPr>
                  <pic:blipFill>
                    <a:blip r:embed="rId113"/>
                    <a:stretch>
                      <a:fillRect/>
                    </a:stretch>
                  </pic:blipFill>
                  <pic:spPr>
                    <a:xfrm>
                      <a:off x="0" y="0"/>
                      <a:ext cx="5258435" cy="2750820"/>
                    </a:xfrm>
                    <a:prstGeom prst="rect">
                      <a:avLst/>
                    </a:prstGeom>
                  </pic:spPr>
                </pic:pic>
              </a:graphicData>
            </a:graphic>
          </wp:inline>
        </w:drawing>
      </w:r>
    </w:p>
    <w:p w14:paraId="33376E4D">
      <w:pPr>
        <w:spacing w:before="120" w:after="120" w:line="288" w:lineRule="auto"/>
        <w:ind w:left="0" w:firstLine="0"/>
        <w:jc w:val="left"/>
      </w:pPr>
      <w:r>
        <w:rPr>
          <w:rFonts w:ascii="Arial" w:hAnsi="Arial" w:eastAsia="等线" w:cs="Arial"/>
          <w:sz w:val="22"/>
        </w:rPr>
        <w:t>包含固定信息、范围信息、用电性质与电压等级。依据各省份实际情况与输配监管周期进行配置。</w:t>
      </w:r>
    </w:p>
    <w:p w14:paraId="079B0E0B">
      <w:pPr>
        <w:spacing w:before="300" w:after="120" w:line="288" w:lineRule="auto"/>
        <w:ind w:left="0"/>
        <w:jc w:val="left"/>
        <w:outlineLvl w:val="2"/>
      </w:pPr>
      <w:bookmarkStart w:id="37" w:name="heading_213"/>
      <w:r>
        <w:rPr>
          <w:rFonts w:hint="eastAsia" w:ascii="Arial" w:hAnsi="Arial" w:eastAsia="等线" w:cs="Arial"/>
          <w:b/>
          <w:sz w:val="30"/>
          <w:szCs w:val="30"/>
          <w:lang w:val="en-US" w:eastAsia="zh-CN"/>
        </w:rPr>
        <w:t>6</w:t>
      </w:r>
      <w:r>
        <w:rPr>
          <w:rFonts w:ascii="Arial" w:hAnsi="Arial" w:eastAsia="等线" w:cs="Arial"/>
          <w:b/>
          <w:sz w:val="30"/>
          <w:szCs w:val="30"/>
        </w:rPr>
        <w:t xml:space="preserve">.14 </w:t>
      </w:r>
      <w:bookmarkEnd w:id="37"/>
      <w:r>
        <w:rPr>
          <w:rFonts w:ascii="Arial" w:hAnsi="Arial" w:eastAsia="等线" w:cs="Arial"/>
          <w:b/>
          <w:sz w:val="30"/>
          <w:szCs w:val="30"/>
        </w:rPr>
        <w:t>目录电价配置</w:t>
      </w:r>
    </w:p>
    <w:p w14:paraId="6151501C">
      <w:pPr>
        <w:spacing w:before="240" w:after="80" w:line="288" w:lineRule="auto"/>
        <w:outlineLvl w:val="3"/>
      </w:pPr>
      <w:r>
        <w:rPr>
          <w:rFonts w:ascii="Arial" w:hAnsi="Arial" w:eastAsia="等线" w:cs="Arial"/>
          <w:b/>
          <w:sz w:val="26"/>
          <w:szCs w:val="26"/>
        </w:rPr>
        <w:t>模块简介</w:t>
      </w:r>
    </w:p>
    <w:p w14:paraId="353C1F25">
      <w:pPr>
        <w:spacing w:before="120" w:after="120" w:line="288" w:lineRule="auto"/>
        <w:ind w:left="0" w:firstLine="0"/>
        <w:jc w:val="left"/>
        <w:rPr>
          <w:rFonts w:ascii="Arial" w:hAnsi="Arial" w:eastAsia="等线" w:cs="Arial"/>
          <w:sz w:val="22"/>
        </w:rPr>
      </w:pPr>
      <w:r>
        <w:rPr>
          <w:rFonts w:ascii="宋体" w:hAnsi="宋体" w:eastAsia="宋体" w:cs="宋体"/>
          <w:kern w:val="0"/>
          <w:sz w:val="24"/>
          <w:szCs w:val="24"/>
          <w:lang w:val="en-US" w:eastAsia="zh-CN" w:bidi="ar"/>
        </w:rPr>
        <w:t>此模块用以维护并发布各省市区月度电网电价及分时时段</w:t>
      </w:r>
      <w:r>
        <w:rPr>
          <w:rFonts w:hint="eastAsia" w:ascii="Arial" w:hAnsi="Arial" w:eastAsia="等线" w:cs="Arial"/>
          <w:sz w:val="22"/>
          <w:lang w:eastAsia="zh-CN"/>
        </w:rPr>
        <w:t>，</w:t>
      </w:r>
      <w:r>
        <w:rPr>
          <w:rFonts w:ascii="Arial" w:hAnsi="Arial" w:eastAsia="等线" w:cs="Arial"/>
          <w:sz w:val="22"/>
        </w:rPr>
        <w:t>主要向租户及交易侧发布每月的峰平谷时段及价格</w:t>
      </w:r>
      <w:r>
        <w:rPr>
          <w:rFonts w:hint="eastAsia" w:ascii="Arial" w:hAnsi="Arial" w:eastAsia="等线" w:cs="Arial"/>
          <w:sz w:val="22"/>
          <w:lang w:val="en-US" w:eastAsia="zh-CN"/>
        </w:rPr>
        <w:t>信息</w:t>
      </w:r>
      <w:r>
        <w:rPr>
          <w:rFonts w:ascii="Arial" w:hAnsi="Arial" w:eastAsia="等线" w:cs="Arial"/>
          <w:sz w:val="22"/>
        </w:rPr>
        <w:t>，可以进行时段上传、价格上传。时段上传支持一次性配置一年的峰平谷时段。</w:t>
      </w:r>
    </w:p>
    <w:p w14:paraId="2CD30BE3">
      <w:pPr>
        <w:keepNext w:val="0"/>
        <w:keepLines w:val="0"/>
        <w:widowControl/>
        <w:suppressLineNumbers w:val="0"/>
        <w:jc w:val="left"/>
      </w:pPr>
      <w:r>
        <w:rPr>
          <w:rFonts w:ascii="宋体" w:hAnsi="宋体" w:eastAsia="宋体" w:cs="宋体"/>
          <w:kern w:val="0"/>
          <w:sz w:val="24"/>
          <w:szCs w:val="24"/>
          <w:lang w:val="en-US" w:eastAsia="zh-CN" w:bidi="ar"/>
        </w:rPr>
        <w:t>维护的是国网&amp;南网工商业电价，国网&amp;南网一般当月底前2~3天发布下个月的电价数据，需要在当月结束前维护好下个月电价&amp;时段信息</w:t>
      </w:r>
    </w:p>
    <w:p w14:paraId="0F58BDF5">
      <w:pPr>
        <w:spacing w:before="120" w:after="120" w:line="288" w:lineRule="auto"/>
        <w:ind w:left="0" w:firstLine="0"/>
        <w:jc w:val="left"/>
        <w:rPr>
          <w:rFonts w:ascii="Arial" w:hAnsi="Arial" w:eastAsia="等线" w:cs="Arial"/>
          <w:sz w:val="22"/>
        </w:rPr>
      </w:pPr>
    </w:p>
    <w:p w14:paraId="3CF8299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2452370"/>
            <wp:effectExtent l="0" t="0" r="9525" b="5080"/>
            <wp:docPr id="1376" name="图片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图片 1376"/>
                    <pic:cNvPicPr>
                      <a:picLocks noChangeAspect="1"/>
                    </pic:cNvPicPr>
                  </pic:nvPicPr>
                  <pic:blipFill>
                    <a:blip r:embed="rId114"/>
                    <a:stretch>
                      <a:fillRect/>
                    </a:stretch>
                  </pic:blipFill>
                  <pic:spPr>
                    <a:xfrm>
                      <a:off x="0" y="0"/>
                      <a:ext cx="5267325" cy="2452370"/>
                    </a:xfrm>
                    <a:prstGeom prst="rect">
                      <a:avLst/>
                    </a:prstGeom>
                  </pic:spPr>
                </pic:pic>
              </a:graphicData>
            </a:graphic>
          </wp:inline>
        </w:drawing>
      </w:r>
    </w:p>
    <w:p w14:paraId="60AE0BD9">
      <w:pPr>
        <w:spacing w:before="240" w:after="80" w:line="288" w:lineRule="auto"/>
        <w:outlineLvl w:val="3"/>
        <w:rPr>
          <w:rFonts w:ascii="Arial" w:hAnsi="Arial" w:eastAsia="等线" w:cs="Arial"/>
          <w:b/>
          <w:sz w:val="26"/>
          <w:szCs w:val="26"/>
        </w:rPr>
      </w:pPr>
      <w:r>
        <w:rPr>
          <w:rFonts w:ascii="Arial" w:hAnsi="Arial" w:eastAsia="等线" w:cs="Arial"/>
          <w:b/>
          <w:sz w:val="26"/>
          <w:szCs w:val="26"/>
        </w:rPr>
        <w:t>操作说明</w:t>
      </w:r>
    </w:p>
    <w:p w14:paraId="16517E25">
      <w:pPr>
        <w:spacing w:before="120" w:after="120" w:line="288" w:lineRule="auto"/>
        <w:ind w:left="0" w:firstLine="0"/>
        <w:jc w:val="left"/>
        <w:rPr>
          <w:rFonts w:hint="eastAsia" w:ascii="Arial" w:hAnsi="Arial" w:eastAsia="等线" w:cs="Arial"/>
          <w:b/>
          <w:bCs/>
          <w:sz w:val="22"/>
          <w:lang w:val="en-US" w:eastAsia="zh-CN"/>
        </w:rPr>
      </w:pPr>
      <w:r>
        <w:rPr>
          <w:rFonts w:hint="eastAsia" w:ascii="Arial" w:hAnsi="Arial" w:eastAsia="等线" w:cs="Arial"/>
          <w:b/>
          <w:bCs/>
          <w:sz w:val="22"/>
          <w:lang w:val="en-US" w:eastAsia="zh-CN"/>
        </w:rPr>
        <w:t>「修改」按钮</w:t>
      </w:r>
    </w:p>
    <w:p w14:paraId="1F8F5046">
      <w:pPr>
        <w:pBdr>
          <w:bottom w:val="double" w:color="auto" w:sz="4" w:space="0"/>
        </w:pBdr>
        <w:spacing w:before="120" w:after="120" w:line="288" w:lineRule="auto"/>
        <w:ind w:left="0"/>
        <w:jc w:val="left"/>
        <w:rPr>
          <w:rFonts w:ascii="Arial" w:hAnsi="Arial" w:eastAsia="等线" w:cs="Arial"/>
          <w:sz w:val="22"/>
          <w:lang w:val="en-US" w:eastAsia="zh-CN"/>
        </w:rPr>
      </w:pPr>
      <w:r>
        <w:rPr>
          <w:rFonts w:hint="eastAsia" w:ascii="Arial" w:hAnsi="Arial" w:eastAsia="等线" w:cs="Arial"/>
          <w:sz w:val="22"/>
          <w:lang w:val="en-US" w:eastAsia="zh-CN"/>
        </w:rPr>
        <w:t>点击修改跳转到编辑中数据(待发布)的配置页面，</w:t>
      </w:r>
      <w:r>
        <w:rPr>
          <w:rFonts w:ascii="Arial" w:hAnsi="Arial" w:eastAsia="等线" w:cs="Arial"/>
          <w:sz w:val="22"/>
          <w:lang w:val="en-US" w:eastAsia="zh-CN"/>
        </w:rPr>
        <w:t>依据国网、南网月度发布的电价内容</w:t>
      </w:r>
      <w:r>
        <w:rPr>
          <w:rFonts w:hint="eastAsia" w:ascii="Arial" w:hAnsi="Arial" w:eastAsia="等线" w:cs="Arial"/>
          <w:sz w:val="22"/>
          <w:lang w:val="en-US" w:eastAsia="zh-CN"/>
        </w:rPr>
        <w:t>和</w:t>
      </w:r>
      <w:r>
        <w:rPr>
          <w:rFonts w:ascii="Arial" w:hAnsi="Arial" w:eastAsia="等线" w:cs="Arial"/>
          <w:sz w:val="22"/>
          <w:lang w:val="en-US" w:eastAsia="zh-CN"/>
        </w:rPr>
        <w:t xml:space="preserve">时段内容，维护对应价格信息、时段信息。 </w:t>
      </w:r>
    </w:p>
    <w:p w14:paraId="5DFFD208">
      <w:pPr>
        <w:pBdr>
          <w:bottom w:val="double" w:color="auto" w:sz="4" w:space="0"/>
        </w:pBdr>
        <w:spacing w:before="120" w:after="120" w:line="288" w:lineRule="auto"/>
        <w:ind w:left="0"/>
        <w:jc w:val="left"/>
        <w:rPr>
          <w:rFonts w:ascii="Arial" w:hAnsi="Arial" w:eastAsia="等线" w:cs="Arial"/>
          <w:sz w:val="22"/>
          <w:lang w:val="en-US" w:eastAsia="zh-CN"/>
        </w:rPr>
      </w:pPr>
    </w:p>
    <w:p w14:paraId="5EF2D3DE">
      <w:pPr>
        <w:pBdr>
          <w:bottom w:val="double" w:color="auto" w:sz="4" w:space="0"/>
        </w:pBdr>
        <w:spacing w:before="120" w:after="120" w:line="288" w:lineRule="auto"/>
        <w:ind w:left="0"/>
        <w:jc w:val="left"/>
        <w:rPr>
          <w:rFonts w:ascii="Arial" w:hAnsi="Arial" w:eastAsia="等线" w:cs="Arial"/>
          <w:sz w:val="22"/>
          <w:lang w:val="en-US" w:eastAsia="zh-CN"/>
        </w:rPr>
      </w:pPr>
    </w:p>
    <w:p w14:paraId="10FD2E87">
      <w:pPr>
        <w:pBdr>
          <w:bottom w:val="double" w:color="auto" w:sz="4" w:space="0"/>
        </w:pBdr>
        <w:spacing w:before="120" w:after="120" w:line="288" w:lineRule="auto"/>
        <w:ind w:left="0"/>
        <w:jc w:val="left"/>
        <w:rPr>
          <w:rFonts w:ascii="Arial" w:hAnsi="Arial" w:eastAsia="等线" w:cs="Arial"/>
          <w:sz w:val="22"/>
          <w:lang w:val="en-US" w:eastAsia="zh-CN"/>
        </w:rPr>
      </w:pPr>
    </w:p>
    <w:p w14:paraId="2B0F87EB">
      <w:pPr>
        <w:pBdr>
          <w:bottom w:val="double" w:color="auto" w:sz="4" w:space="0"/>
        </w:pBdr>
        <w:spacing w:before="120" w:after="120" w:line="288" w:lineRule="auto"/>
        <w:ind w:left="0"/>
        <w:jc w:val="left"/>
        <w:rPr>
          <w:rFonts w:ascii="Arial" w:hAnsi="Arial" w:eastAsia="等线" w:cs="Arial"/>
          <w:sz w:val="22"/>
          <w:lang w:val="en-US" w:eastAsia="zh-CN"/>
        </w:rPr>
      </w:pPr>
    </w:p>
    <w:p w14:paraId="3A5B6D18">
      <w:pPr>
        <w:pBdr>
          <w:bottom w:val="double" w:color="auto" w:sz="4" w:space="0"/>
        </w:pBdr>
        <w:spacing w:before="120" w:after="120" w:line="288" w:lineRule="auto"/>
        <w:ind w:left="0"/>
        <w:jc w:val="left"/>
        <w:rPr>
          <w:rFonts w:ascii="Arial" w:hAnsi="Arial" w:eastAsia="等线" w:cs="Arial"/>
          <w:sz w:val="22"/>
          <w:lang w:val="en-US" w:eastAsia="zh-CN"/>
        </w:rPr>
      </w:pPr>
    </w:p>
    <w:p w14:paraId="33698419">
      <w:pPr>
        <w:pBdr>
          <w:bottom w:val="double" w:color="auto" w:sz="4" w:space="0"/>
        </w:pBdr>
        <w:spacing w:before="120" w:after="120" w:line="288" w:lineRule="auto"/>
        <w:ind w:left="0"/>
        <w:jc w:val="left"/>
        <w:rPr>
          <w:rFonts w:ascii="Arial" w:hAnsi="Arial" w:eastAsia="等线" w:cs="Arial"/>
          <w:sz w:val="22"/>
          <w:lang w:val="en-US" w:eastAsia="zh-CN"/>
        </w:rPr>
      </w:pPr>
    </w:p>
    <w:p w14:paraId="501BBCD2">
      <w:pPr>
        <w:pBdr>
          <w:bottom w:val="double" w:color="auto" w:sz="4" w:space="0"/>
        </w:pBdr>
        <w:spacing w:before="120" w:after="120" w:line="288" w:lineRule="auto"/>
        <w:ind w:left="0"/>
        <w:jc w:val="left"/>
        <w:rPr>
          <w:rFonts w:ascii="Arial" w:hAnsi="Arial" w:eastAsia="等线" w:cs="Arial"/>
          <w:sz w:val="22"/>
          <w:lang w:val="en-US" w:eastAsia="zh-CN"/>
        </w:rPr>
      </w:pPr>
    </w:p>
    <w:p w14:paraId="4B375FE6">
      <w:pPr>
        <w:keepNext w:val="0"/>
        <w:keepLines w:val="0"/>
        <w:widowControl/>
        <w:suppressLineNumbers w:val="0"/>
        <w:jc w:val="left"/>
        <w:rPr>
          <w:rFonts w:hint="eastAsia" w:ascii="Arial" w:hAnsi="Arial" w:eastAsia="等线" w:cs="Arial"/>
          <w:sz w:val="22"/>
          <w:u w:val="none"/>
          <w:lang w:val="en-US" w:eastAsia="zh-CN"/>
        </w:rPr>
      </w:pPr>
      <w:r>
        <w:rPr>
          <w:rFonts w:hint="eastAsia" w:ascii="Arial" w:hAnsi="Arial" w:eastAsia="等线" w:cs="Arial"/>
          <w:b/>
          <w:bCs/>
          <w:sz w:val="22"/>
          <w:highlight w:val="yellow"/>
          <w:lang w:val="en-US" w:eastAsia="zh-CN"/>
        </w:rPr>
        <w:t>价格</w:t>
      </w:r>
      <w:r>
        <w:rPr>
          <w:rFonts w:ascii="Arial" w:hAnsi="Arial" w:eastAsia="等线" w:cs="Arial"/>
          <w:b/>
          <w:bCs/>
          <w:sz w:val="22"/>
          <w:highlight w:val="yellow"/>
        </w:rPr>
        <w:t>信息</w:t>
      </w:r>
      <w:r>
        <w:rPr>
          <w:rFonts w:ascii="Arial" w:hAnsi="Arial" w:eastAsia="等线" w:cs="Arial"/>
          <w:sz w:val="22"/>
        </w:rPr>
        <w:t>是配置</w:t>
      </w:r>
      <w:r>
        <w:rPr>
          <w:rFonts w:hint="eastAsia" w:ascii="Arial" w:hAnsi="Arial" w:eastAsia="等线" w:cs="Arial"/>
          <w:sz w:val="22"/>
          <w:lang w:val="en-US" w:eastAsia="zh-CN"/>
        </w:rPr>
        <w:t>不同</w:t>
      </w:r>
      <w:r>
        <w:rPr>
          <w:rFonts w:hint="eastAsia" w:ascii="Arial" w:hAnsi="Arial" w:eastAsia="等线" w:cs="Arial"/>
          <w:color w:val="0000FF"/>
          <w:sz w:val="22"/>
          <w:u w:val="single"/>
          <w:lang w:val="en-US" w:eastAsia="zh-CN"/>
        </w:rPr>
        <w:t>区域标签</w:t>
      </w:r>
      <w:r>
        <w:rPr>
          <w:rFonts w:hint="eastAsia" w:ascii="Arial" w:hAnsi="Arial" w:eastAsia="等线" w:cs="Arial"/>
          <w:sz w:val="22"/>
          <w:lang w:val="en-US" w:eastAsia="zh-CN"/>
        </w:rPr>
        <w:t>（图2</w:t>
      </w:r>
      <w:r>
        <w:rPr>
          <w:rFonts w:hint="eastAsia" w:ascii="Arial" w:hAnsi="Arial" w:eastAsia="等线" w:cs="Arial"/>
          <w:color w:val="0000FF"/>
          <w:sz w:val="22"/>
          <w:u w:val="single"/>
          <w:lang w:val="en-US" w:eastAsia="zh-CN"/>
        </w:rPr>
        <w:t>电价分组</w:t>
      </w:r>
      <w:r>
        <w:rPr>
          <w:rFonts w:hint="eastAsia" w:ascii="Arial" w:hAnsi="Arial" w:eastAsia="等线" w:cs="Arial"/>
          <w:sz w:val="22"/>
          <w:u w:val="single"/>
          <w:lang w:val="en-US" w:eastAsia="zh-CN"/>
        </w:rPr>
        <w:t>中维护</w:t>
      </w:r>
      <w:r>
        <w:rPr>
          <w:rFonts w:hint="eastAsia" w:ascii="Arial" w:hAnsi="Arial" w:eastAsia="等线" w:cs="Arial"/>
          <w:sz w:val="22"/>
          <w:lang w:val="en-US" w:eastAsia="zh-CN"/>
        </w:rPr>
        <w:t>）的</w:t>
      </w:r>
      <w:r>
        <w:rPr>
          <w:rFonts w:ascii="Arial" w:hAnsi="Arial" w:eastAsia="等线" w:cs="Arial"/>
          <w:sz w:val="22"/>
        </w:rPr>
        <w:t>峰平谷对应时段</w:t>
      </w:r>
      <w:r>
        <w:rPr>
          <w:rFonts w:hint="eastAsia" w:ascii="Arial" w:hAnsi="Arial" w:eastAsia="等线" w:cs="Arial"/>
          <w:sz w:val="22"/>
          <w:lang w:val="en-US" w:eastAsia="zh-CN"/>
        </w:rPr>
        <w:t>电价信息</w:t>
      </w:r>
      <w:r>
        <w:rPr>
          <w:rFonts w:ascii="Arial" w:hAnsi="Arial" w:eastAsia="等线" w:cs="Arial"/>
          <w:sz w:val="22"/>
        </w:rPr>
        <w:t>，支持</w:t>
      </w:r>
      <w:r>
        <w:rPr>
          <w:rFonts w:hint="eastAsia" w:ascii="Arial" w:hAnsi="Arial" w:eastAsia="等线" w:cs="Arial"/>
          <w:sz w:val="22"/>
          <w:lang w:val="en-US" w:eastAsia="zh-CN"/>
        </w:rPr>
        <w:t xml:space="preserve"> </w:t>
      </w:r>
      <w:r>
        <w:rPr>
          <w:rFonts w:ascii="Arial" w:hAnsi="Arial" w:eastAsia="等线" w:cs="Arial"/>
          <w:sz w:val="22"/>
          <w:u w:val="single"/>
        </w:rPr>
        <w:t>尖 峰 平 谷 深谷</w:t>
      </w:r>
      <w:r>
        <w:rPr>
          <w:rFonts w:hint="eastAsia" w:ascii="Arial" w:hAnsi="Arial" w:eastAsia="等线" w:cs="Arial"/>
          <w:sz w:val="22"/>
          <w:lang w:val="en-US" w:eastAsia="zh-CN"/>
        </w:rPr>
        <w:t xml:space="preserve"> </w:t>
      </w:r>
      <w:r>
        <w:rPr>
          <w:rFonts w:ascii="Arial" w:hAnsi="Arial" w:eastAsia="等线" w:cs="Arial"/>
          <w:sz w:val="22"/>
        </w:rPr>
        <w:t>时段</w:t>
      </w:r>
      <w:r>
        <w:rPr>
          <w:rFonts w:hint="eastAsia" w:ascii="Arial" w:hAnsi="Arial" w:eastAsia="等线" w:cs="Arial"/>
          <w:sz w:val="22"/>
          <w:lang w:eastAsia="zh-CN"/>
        </w:rPr>
        <w:t>；</w:t>
      </w:r>
      <w:r>
        <w:rPr>
          <w:rFonts w:hint="eastAsia" w:ascii="Arial" w:hAnsi="Arial" w:eastAsia="等线" w:cs="Arial"/>
          <w:sz w:val="22"/>
          <w:lang w:val="en-US" w:eastAsia="zh-CN"/>
        </w:rPr>
        <w:t>初始值是</w:t>
      </w:r>
      <w:r>
        <w:rPr>
          <w:rFonts w:hint="eastAsia" w:ascii="Arial" w:hAnsi="Arial" w:eastAsia="等线" w:cs="Arial"/>
          <w:sz w:val="22"/>
          <w:u w:val="none"/>
          <w:lang w:val="en-US" w:eastAsia="zh-CN"/>
        </w:rPr>
        <w:t>通过</w:t>
      </w:r>
      <w:r>
        <w:rPr>
          <w:rFonts w:hint="eastAsia" w:ascii="Arial" w:hAnsi="Arial" w:eastAsia="等线" w:cs="Arial"/>
          <w:b/>
          <w:bCs/>
          <w:sz w:val="22"/>
          <w:highlight w:val="yellow"/>
          <w:u w:val="none"/>
          <w:lang w:val="en-US" w:eastAsia="zh-CN"/>
        </w:rPr>
        <w:t>定时任务逻辑</w:t>
      </w:r>
      <w:r>
        <w:rPr>
          <w:rFonts w:hint="eastAsia" w:ascii="Arial" w:hAnsi="Arial" w:eastAsia="等线" w:cs="Arial"/>
          <w:sz w:val="22"/>
          <w:u w:val="none"/>
          <w:lang w:val="en-US" w:eastAsia="zh-CN"/>
        </w:rPr>
        <w:t>同步过来的：当月初(M)生成下下月(M+2)未发布记录,默认数据取(M)月份的编辑中电价数据 (如果(M+2)月份数据已存在就不处理)</w:t>
      </w:r>
    </w:p>
    <w:p w14:paraId="77D18CB9">
      <w:pPr>
        <w:spacing w:before="120" w:after="120" w:line="288" w:lineRule="auto"/>
        <w:ind w:left="0" w:firstLine="0"/>
        <w:jc w:val="left"/>
        <w:rPr>
          <w:rFonts w:ascii="Arial" w:hAnsi="Arial" w:eastAsia="等线" w:cs="Arial"/>
          <w:sz w:val="22"/>
        </w:rPr>
      </w:pPr>
    </w:p>
    <w:p w14:paraId="289F0141">
      <w:pPr>
        <w:spacing w:before="120" w:after="120" w:line="288" w:lineRule="auto"/>
        <w:ind w:left="0" w:firstLine="0"/>
        <w:jc w:val="left"/>
      </w:pPr>
      <w:r>
        <w:drawing>
          <wp:inline distT="0" distB="0" distL="114300" distR="114300">
            <wp:extent cx="5272405" cy="2513330"/>
            <wp:effectExtent l="0" t="0" r="4445" b="127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15"/>
                    <a:stretch>
                      <a:fillRect/>
                    </a:stretch>
                  </pic:blipFill>
                  <pic:spPr>
                    <a:xfrm>
                      <a:off x="0" y="0"/>
                      <a:ext cx="5272405" cy="2513330"/>
                    </a:xfrm>
                    <a:prstGeom prst="rect">
                      <a:avLst/>
                    </a:prstGeom>
                    <a:noFill/>
                    <a:ln>
                      <a:noFill/>
                    </a:ln>
                  </pic:spPr>
                </pic:pic>
              </a:graphicData>
            </a:graphic>
          </wp:inline>
        </w:drawing>
      </w:r>
    </w:p>
    <w:p w14:paraId="006BC228">
      <w:pPr>
        <w:spacing w:before="120" w:after="120" w:line="288" w:lineRule="auto"/>
        <w:ind w:left="0" w:firstLine="0"/>
        <w:jc w:val="left"/>
      </w:pPr>
      <w:r>
        <w:drawing>
          <wp:inline distT="0" distB="0" distL="114300" distR="114300">
            <wp:extent cx="5257165" cy="2082165"/>
            <wp:effectExtent l="0" t="0" r="635" b="133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16"/>
                    <a:stretch>
                      <a:fillRect/>
                    </a:stretch>
                  </pic:blipFill>
                  <pic:spPr>
                    <a:xfrm>
                      <a:off x="0" y="0"/>
                      <a:ext cx="5257165" cy="2082165"/>
                    </a:xfrm>
                    <a:prstGeom prst="rect">
                      <a:avLst/>
                    </a:prstGeom>
                    <a:noFill/>
                    <a:ln>
                      <a:noFill/>
                    </a:ln>
                  </pic:spPr>
                </pic:pic>
              </a:graphicData>
            </a:graphic>
          </wp:inline>
        </w:drawing>
      </w:r>
    </w:p>
    <w:p w14:paraId="679B0D9D">
      <w:pPr>
        <w:spacing w:before="120" w:after="120" w:line="288" w:lineRule="auto"/>
        <w:ind w:left="0" w:firstLine="0"/>
        <w:jc w:val="left"/>
      </w:pPr>
    </w:p>
    <w:p w14:paraId="56350372">
      <w:pPr>
        <w:keepNext w:val="0"/>
        <w:keepLines w:val="0"/>
        <w:widowControl/>
        <w:suppressLineNumbers w:val="0"/>
        <w:jc w:val="left"/>
        <w:rPr>
          <w:rFonts w:hint="eastAsia" w:ascii="Arial" w:hAnsi="Arial" w:eastAsia="等线" w:cs="Arial"/>
          <w:sz w:val="22"/>
          <w:u w:val="none"/>
          <w:lang w:val="en-US" w:eastAsia="zh-CN"/>
        </w:rPr>
      </w:pPr>
      <w:r>
        <w:rPr>
          <w:rFonts w:hint="eastAsia" w:ascii="Arial" w:hAnsi="Arial" w:eastAsia="等线" w:cs="Arial"/>
          <w:b/>
          <w:bCs/>
          <w:sz w:val="22"/>
          <w:highlight w:val="yellow"/>
          <w:u w:val="single"/>
          <w:lang w:val="en-US" w:eastAsia="zh-CN"/>
        </w:rPr>
        <w:t>时段</w:t>
      </w:r>
      <w:r>
        <w:rPr>
          <w:rFonts w:ascii="Arial" w:hAnsi="Arial" w:eastAsia="等线" w:cs="Arial"/>
          <w:b/>
          <w:bCs/>
          <w:sz w:val="22"/>
          <w:highlight w:val="yellow"/>
          <w:u w:val="single"/>
        </w:rPr>
        <w:t>信息</w:t>
      </w:r>
      <w:r>
        <w:rPr>
          <w:rFonts w:hint="eastAsia" w:ascii="Arial" w:hAnsi="Arial" w:eastAsia="等线" w:cs="Arial"/>
          <w:sz w:val="22"/>
          <w:lang w:val="en-US" w:eastAsia="zh-CN"/>
        </w:rPr>
        <w:t>会默认一个</w:t>
      </w:r>
      <w:r>
        <w:rPr>
          <w:rFonts w:hint="eastAsia" w:ascii="Arial" w:hAnsi="Arial" w:eastAsia="等线" w:cs="Arial"/>
          <w:sz w:val="22"/>
          <w:u w:val="single"/>
          <w:lang w:val="en-US" w:eastAsia="zh-CN"/>
        </w:rPr>
        <w:t>日常时段信息</w:t>
      </w:r>
      <w:r>
        <w:rPr>
          <w:rFonts w:hint="eastAsia" w:ascii="Arial" w:hAnsi="Arial" w:eastAsia="等线" w:cs="Arial"/>
          <w:sz w:val="22"/>
          <w:lang w:val="en-US" w:eastAsia="zh-CN"/>
        </w:rPr>
        <w:t>，不会指定</w:t>
      </w:r>
      <w:r>
        <w:rPr>
          <w:rFonts w:ascii="Segoe UI" w:hAnsi="Segoe UI" w:eastAsia="Segoe UI" w:cs="Segoe UI"/>
          <w:i w:val="0"/>
          <w:iCs w:val="0"/>
          <w:caps w:val="0"/>
          <w:spacing w:val="0"/>
          <w:sz w:val="21"/>
          <w:szCs w:val="21"/>
          <w:shd w:val="clear" w:fill="FFFFFF"/>
        </w:rPr>
        <w:t>事件</w:t>
      </w:r>
      <w:r>
        <w:rPr>
          <w:rFonts w:hint="eastAsia" w:ascii="Segoe UI" w:hAnsi="Segoe UI" w:eastAsia="宋体" w:cs="Segoe UI"/>
          <w:i w:val="0"/>
          <w:iCs w:val="0"/>
          <w:caps w:val="0"/>
          <w:spacing w:val="0"/>
          <w:sz w:val="21"/>
          <w:szCs w:val="21"/>
          <w:shd w:val="clear" w:fill="FFFFFF"/>
          <w:lang w:val="en-US" w:eastAsia="zh-CN"/>
        </w:rPr>
        <w:t>名称和</w:t>
      </w:r>
      <w:r>
        <w:rPr>
          <w:rFonts w:ascii="Segoe UI" w:hAnsi="Segoe UI" w:eastAsia="Segoe UI" w:cs="Segoe UI"/>
          <w:i w:val="0"/>
          <w:iCs w:val="0"/>
          <w:caps w:val="0"/>
          <w:spacing w:val="0"/>
          <w:sz w:val="21"/>
          <w:szCs w:val="21"/>
          <w:shd w:val="clear" w:fill="FFFFFF"/>
        </w:rPr>
        <w:t>适用日期</w:t>
      </w:r>
      <w:r>
        <w:rPr>
          <w:rFonts w:hint="eastAsia" w:ascii="Segoe UI" w:hAnsi="Segoe UI" w:eastAsia="宋体" w:cs="Segoe UI"/>
          <w:i w:val="0"/>
          <w:iCs w:val="0"/>
          <w:caps w:val="0"/>
          <w:spacing w:val="0"/>
          <w:sz w:val="21"/>
          <w:szCs w:val="21"/>
          <w:shd w:val="clear" w:fill="FFFFFF"/>
          <w:lang w:eastAsia="zh-CN"/>
        </w:rPr>
        <w:t>；</w:t>
      </w: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是</w:t>
      </w:r>
      <w:r>
        <w:rPr>
          <w:rFonts w:hint="eastAsia" w:ascii="Segoe UI" w:hAnsi="Segoe UI" w:eastAsia="宋体" w:cs="Segoe UI"/>
          <w:i w:val="0"/>
          <w:iCs w:val="0"/>
          <w:caps w:val="0"/>
          <w:spacing w:val="0"/>
          <w:sz w:val="21"/>
          <w:szCs w:val="21"/>
          <w:shd w:val="clear" w:fill="FFFFFF"/>
          <w:lang w:val="en-US" w:eastAsia="zh-CN"/>
        </w:rPr>
        <w:t>通用的</w:t>
      </w:r>
      <w:r>
        <w:rPr>
          <w:rFonts w:ascii="Arial" w:hAnsi="Arial" w:eastAsia="等线" w:cs="Arial"/>
          <w:sz w:val="22"/>
        </w:rPr>
        <w:t>峰平谷时段分布</w:t>
      </w:r>
      <w:r>
        <w:rPr>
          <w:rFonts w:hint="eastAsia" w:ascii="Arial" w:hAnsi="Arial" w:eastAsia="等线" w:cs="Arial"/>
          <w:sz w:val="22"/>
          <w:lang w:eastAsia="zh-CN"/>
        </w:rPr>
        <w:t>，</w:t>
      </w:r>
      <w:r>
        <w:rPr>
          <w:rFonts w:hint="eastAsia" w:ascii="Arial" w:hAnsi="Arial" w:eastAsia="等线" w:cs="Arial"/>
          <w:sz w:val="22"/>
          <w:lang w:val="en-US" w:eastAsia="zh-CN"/>
        </w:rPr>
        <w:t>初始默认值是</w:t>
      </w:r>
      <w:r>
        <w:rPr>
          <w:rFonts w:hint="eastAsia" w:ascii="Arial" w:hAnsi="Arial" w:eastAsia="等线" w:cs="Arial"/>
          <w:sz w:val="22"/>
          <w:u w:val="none"/>
          <w:lang w:val="en-US" w:eastAsia="zh-CN"/>
        </w:rPr>
        <w:t>通过</w:t>
      </w:r>
      <w:r>
        <w:rPr>
          <w:rFonts w:hint="eastAsia" w:ascii="Arial" w:hAnsi="Arial" w:eastAsia="等线" w:cs="Arial"/>
          <w:b/>
          <w:bCs/>
          <w:sz w:val="22"/>
          <w:highlight w:val="yellow"/>
          <w:u w:val="none"/>
          <w:lang w:val="en-US" w:eastAsia="zh-CN"/>
        </w:rPr>
        <w:t>定时任务逻辑</w:t>
      </w:r>
      <w:r>
        <w:rPr>
          <w:rFonts w:hint="eastAsia" w:ascii="Arial" w:hAnsi="Arial" w:eastAsia="等线" w:cs="Arial"/>
          <w:sz w:val="22"/>
          <w:u w:val="none"/>
          <w:lang w:val="en-US" w:eastAsia="zh-CN"/>
        </w:rPr>
        <w:t>同步过来的：当月初(M)生成下下月(M+2)未发布记录,默认数据取(M)月份的编辑中电价数据 (如果(M+2)月份数据已存在就不处理)</w:t>
      </w:r>
    </w:p>
    <w:p w14:paraId="6C3B5934">
      <w:pPr>
        <w:spacing w:before="120" w:after="120" w:line="288" w:lineRule="auto"/>
        <w:ind w:left="0" w:firstLine="0"/>
        <w:jc w:val="left"/>
        <w:rPr>
          <w:rFonts w:hint="default" w:ascii="Segoe UI" w:hAnsi="Segoe UI" w:eastAsia="等线" w:cs="Segoe UI"/>
          <w:i w:val="0"/>
          <w:iCs w:val="0"/>
          <w:caps w:val="0"/>
          <w:spacing w:val="0"/>
          <w:sz w:val="21"/>
          <w:szCs w:val="21"/>
          <w:shd w:val="clear" w:fill="FFFFFF"/>
          <w:lang w:val="en-US" w:eastAsia="zh-CN"/>
        </w:rPr>
      </w:pPr>
    </w:p>
    <w:p w14:paraId="438C4398">
      <w:pPr>
        <w:spacing w:before="120" w:after="120" w:line="288" w:lineRule="auto"/>
        <w:ind w:left="0" w:firstLine="0"/>
        <w:jc w:val="left"/>
        <w:rPr>
          <w:rFonts w:ascii="Arial" w:hAnsi="Arial" w:eastAsia="等线" w:cs="Arial"/>
          <w:sz w:val="22"/>
          <w:lang w:val="en-US" w:eastAsia="zh-CN"/>
        </w:rPr>
      </w:pPr>
      <w:r>
        <w:rPr>
          <w:rFonts w:ascii="Arial" w:hAnsi="Arial" w:eastAsia="等线" w:cs="Arial"/>
          <w:sz w:val="22"/>
        </w:rPr>
        <w:t>点击添加事件，</w:t>
      </w:r>
      <w:r>
        <w:rPr>
          <w:rFonts w:hint="eastAsia" w:ascii="Arial" w:hAnsi="Arial" w:eastAsia="等线" w:cs="Arial"/>
          <w:sz w:val="22"/>
          <w:lang w:val="en-US" w:eastAsia="zh-CN"/>
        </w:rPr>
        <w:t>添加</w:t>
      </w:r>
      <w:r>
        <w:rPr>
          <w:rFonts w:hint="eastAsia" w:ascii="Arial" w:hAnsi="Arial" w:eastAsia="等线" w:cs="Arial"/>
          <w:b/>
          <w:bCs/>
          <w:sz w:val="22"/>
          <w:highlight w:val="yellow"/>
          <w:u w:val="single"/>
          <w:lang w:val="en-US" w:eastAsia="zh-CN"/>
        </w:rPr>
        <w:t>特定</w:t>
      </w:r>
      <w:r>
        <w:rPr>
          <w:rFonts w:ascii="Arial" w:hAnsi="Arial" w:eastAsia="等线" w:cs="Arial"/>
          <w:b/>
          <w:bCs/>
          <w:sz w:val="22"/>
          <w:highlight w:val="yellow"/>
          <w:u w:val="single"/>
          <w:lang w:val="en-US" w:eastAsia="zh-CN"/>
        </w:rPr>
        <w:t>事件</w:t>
      </w:r>
      <w:r>
        <w:rPr>
          <w:rFonts w:hint="eastAsia" w:ascii="Arial" w:hAnsi="Arial" w:eastAsia="等线" w:cs="Arial"/>
          <w:sz w:val="22"/>
          <w:lang w:val="en-US" w:eastAsia="zh-CN"/>
        </w:rPr>
        <w:t>的时段信息</w:t>
      </w:r>
      <w:r>
        <w:rPr>
          <w:rFonts w:ascii="Arial" w:hAnsi="Arial" w:eastAsia="等线" w:cs="Arial"/>
          <w:sz w:val="22"/>
          <w:lang w:val="en-US" w:eastAsia="zh-CN"/>
        </w:rPr>
        <w:t>，</w:t>
      </w:r>
      <w:r>
        <w:rPr>
          <w:rFonts w:hint="eastAsia" w:ascii="Arial" w:hAnsi="Arial" w:eastAsia="等线" w:cs="Arial"/>
          <w:sz w:val="22"/>
          <w:lang w:val="en-US" w:eastAsia="zh-CN"/>
        </w:rPr>
        <w:t>在目标</w:t>
      </w:r>
      <w:r>
        <w:rPr>
          <w:rFonts w:ascii="Arial" w:hAnsi="Arial" w:eastAsia="等线" w:cs="Arial"/>
          <w:sz w:val="22"/>
        </w:rPr>
        <w:t>月</w:t>
      </w:r>
      <w:r>
        <w:rPr>
          <w:rFonts w:hint="eastAsia" w:ascii="Arial" w:hAnsi="Arial" w:eastAsia="等线" w:cs="Arial"/>
          <w:sz w:val="22"/>
          <w:lang w:val="en-US" w:eastAsia="zh-CN"/>
        </w:rPr>
        <w:t>特定</w:t>
      </w:r>
      <w:r>
        <w:rPr>
          <w:rFonts w:ascii="Segoe UI" w:hAnsi="Segoe UI" w:eastAsia="Segoe UI" w:cs="Segoe UI"/>
          <w:i w:val="0"/>
          <w:iCs w:val="0"/>
          <w:caps w:val="0"/>
          <w:spacing w:val="0"/>
          <w:sz w:val="21"/>
          <w:szCs w:val="21"/>
          <w:shd w:val="clear" w:fill="FFFFFF"/>
        </w:rPr>
        <w:t>日期</w:t>
      </w:r>
      <w:r>
        <w:rPr>
          <w:rFonts w:ascii="Arial" w:hAnsi="Arial" w:eastAsia="等线" w:cs="Arial"/>
          <w:sz w:val="22"/>
        </w:rPr>
        <w:t>内</w:t>
      </w:r>
      <w:r>
        <w:rPr>
          <w:rFonts w:hint="eastAsia" w:ascii="Arial" w:hAnsi="Arial" w:eastAsia="等线" w:cs="Arial"/>
          <w:sz w:val="22"/>
          <w:lang w:val="en-US" w:eastAsia="zh-CN"/>
        </w:rPr>
        <w:t>添</w:t>
      </w:r>
      <w:r>
        <w:rPr>
          <w:rFonts w:ascii="Arial" w:hAnsi="Arial" w:eastAsia="等线" w:cs="Arial"/>
          <w:sz w:val="22"/>
        </w:rPr>
        <w:t>加峰平谷时段分布</w:t>
      </w:r>
      <w:r>
        <w:rPr>
          <w:rFonts w:hint="eastAsia" w:ascii="Arial" w:hAnsi="Arial" w:eastAsia="等线" w:cs="Arial"/>
          <w:sz w:val="22"/>
          <w:lang w:eastAsia="zh-CN"/>
        </w:rPr>
        <w:t>，</w:t>
      </w:r>
      <w:r>
        <w:rPr>
          <w:rFonts w:ascii="Arial" w:hAnsi="Arial" w:eastAsia="等线" w:cs="Arial"/>
          <w:sz w:val="22"/>
          <w:lang w:val="en-US" w:eastAsia="zh-CN"/>
        </w:rPr>
        <w:t>如国庆的事件名称、适用日期、适用的用电性质电压等级范围与分时时段。</w:t>
      </w:r>
    </w:p>
    <w:p w14:paraId="38DCF175">
      <w:pPr>
        <w:spacing w:before="120" w:after="120" w:line="288" w:lineRule="auto"/>
        <w:ind w:left="0" w:firstLine="0"/>
        <w:jc w:val="left"/>
        <w:rPr>
          <w:rFonts w:hint="eastAsia" w:ascii="Arial" w:hAnsi="Arial" w:eastAsia="等线" w:cs="Arial"/>
          <w:sz w:val="22"/>
          <w:u w:val="none"/>
          <w:lang w:val="en-US" w:eastAsia="zh-CN"/>
        </w:rPr>
      </w:pP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与</w:t>
      </w:r>
      <w:r>
        <w:rPr>
          <w:rFonts w:hint="eastAsia" w:ascii="Arial" w:hAnsi="Arial" w:eastAsia="等线" w:cs="Arial"/>
          <w:sz w:val="22"/>
          <w:u w:val="single"/>
          <w:lang w:val="en-US" w:eastAsia="zh-CN"/>
        </w:rPr>
        <w:t>特定时段信息</w:t>
      </w:r>
      <w:r>
        <w:rPr>
          <w:rFonts w:hint="eastAsia" w:ascii="Arial" w:hAnsi="Arial" w:eastAsia="等线" w:cs="Arial"/>
          <w:sz w:val="22"/>
          <w:u w:val="none"/>
          <w:lang w:val="en-US" w:eastAsia="zh-CN"/>
        </w:rPr>
        <w:t>优先级：</w:t>
      </w:r>
      <w:r>
        <w:rPr>
          <w:rFonts w:hint="eastAsia" w:ascii="Arial" w:hAnsi="Arial" w:eastAsia="等线" w:cs="Arial"/>
          <w:sz w:val="22"/>
          <w:u w:val="single"/>
          <w:lang w:val="en-US" w:eastAsia="zh-CN"/>
        </w:rPr>
        <w:t>特定时段信息</w:t>
      </w:r>
      <w:r>
        <w:rPr>
          <w:rFonts w:hint="eastAsia" w:ascii="Arial" w:hAnsi="Arial" w:eastAsia="等线" w:cs="Arial"/>
          <w:sz w:val="22"/>
          <w:u w:val="none"/>
          <w:lang w:val="en-US" w:eastAsia="zh-CN"/>
        </w:rPr>
        <w:t xml:space="preserve"> &gt; </w:t>
      </w:r>
      <w:r>
        <w:rPr>
          <w:rFonts w:hint="eastAsia" w:ascii="Arial" w:hAnsi="Arial" w:eastAsia="等线" w:cs="Arial"/>
          <w:sz w:val="22"/>
          <w:u w:val="single"/>
          <w:lang w:val="en-US" w:eastAsia="zh-CN"/>
        </w:rPr>
        <w:t>日常时段信息</w:t>
      </w:r>
      <w:r>
        <w:rPr>
          <w:rFonts w:hint="eastAsia" w:ascii="Arial" w:hAnsi="Arial" w:eastAsia="等线" w:cs="Arial"/>
          <w:sz w:val="22"/>
          <w:u w:val="none"/>
          <w:lang w:val="en-US" w:eastAsia="zh-CN"/>
        </w:rPr>
        <w:t>, 即特定日期内适用特定事件。</w:t>
      </w:r>
      <w:r>
        <w:drawing>
          <wp:inline distT="0" distB="0" distL="114300" distR="114300">
            <wp:extent cx="5258435" cy="1635760"/>
            <wp:effectExtent l="0" t="0" r="18415" b="254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17"/>
                    <a:stretch>
                      <a:fillRect/>
                    </a:stretch>
                  </pic:blipFill>
                  <pic:spPr>
                    <a:xfrm>
                      <a:off x="0" y="0"/>
                      <a:ext cx="5258435" cy="1635760"/>
                    </a:xfrm>
                    <a:prstGeom prst="rect">
                      <a:avLst/>
                    </a:prstGeom>
                    <a:noFill/>
                    <a:ln>
                      <a:noFill/>
                    </a:ln>
                  </pic:spPr>
                </pic:pic>
              </a:graphicData>
            </a:graphic>
          </wp:inline>
        </w:drawing>
      </w:r>
    </w:p>
    <w:p w14:paraId="65802FE6">
      <w:pPr>
        <w:spacing w:before="120" w:after="120" w:line="288" w:lineRule="auto"/>
        <w:ind w:left="0" w:firstLine="0"/>
        <w:jc w:val="left"/>
        <w:rPr>
          <w:rFonts w:hint="eastAsia" w:ascii="Arial" w:hAnsi="Arial" w:eastAsia="等线" w:cs="Arial"/>
          <w:b/>
          <w:bCs/>
          <w:sz w:val="22"/>
          <w:lang w:val="en-US" w:eastAsia="zh-CN"/>
        </w:rPr>
      </w:pPr>
    </w:p>
    <w:p w14:paraId="7B9E3DA1">
      <w:pPr>
        <w:spacing w:before="120" w:after="120" w:line="288" w:lineRule="auto"/>
        <w:ind w:left="0" w:firstLine="0"/>
        <w:jc w:val="left"/>
        <w:rPr>
          <w:rFonts w:ascii="宋体" w:hAnsi="宋体" w:eastAsia="宋体" w:cs="宋体"/>
          <w:kern w:val="0"/>
          <w:sz w:val="24"/>
          <w:szCs w:val="24"/>
          <w:lang w:val="en-US" w:eastAsia="zh-CN" w:bidi="ar"/>
        </w:rPr>
      </w:pPr>
      <w:r>
        <w:rPr>
          <w:rFonts w:hint="eastAsia" w:ascii="Arial" w:hAnsi="Arial" w:eastAsia="等线" w:cs="Arial"/>
          <w:b/>
          <w:bCs/>
          <w:sz w:val="22"/>
          <w:lang w:val="en-US" w:eastAsia="zh-CN"/>
        </w:rPr>
        <w:t>「电价上传」按钮</w:t>
      </w:r>
    </w:p>
    <w:p w14:paraId="431B084C">
      <w:pPr>
        <w:keepNext w:val="0"/>
        <w:keepLines w:val="0"/>
        <w:widowControl/>
        <w:suppressLineNumbers w:val="0"/>
        <w:jc w:val="left"/>
      </w:pPr>
      <w:r>
        <w:rPr>
          <w:rFonts w:ascii="宋体" w:hAnsi="宋体" w:eastAsia="宋体" w:cs="宋体"/>
          <w:kern w:val="0"/>
          <w:sz w:val="24"/>
          <w:szCs w:val="24"/>
          <w:lang w:val="en-US" w:eastAsia="zh-CN" w:bidi="ar"/>
        </w:rPr>
        <w:t>点击</w:t>
      </w:r>
      <w:r>
        <w:rPr>
          <w:rFonts w:hint="eastAsia" w:ascii="宋体" w:hAnsi="宋体" w:eastAsia="宋体" w:cs="宋体"/>
          <w:b/>
          <w:bCs/>
          <w:kern w:val="0"/>
          <w:sz w:val="24"/>
          <w:szCs w:val="24"/>
          <w:lang w:val="en-US" w:eastAsia="zh-CN" w:bidi="ar"/>
        </w:rPr>
        <w:t>电价</w:t>
      </w:r>
      <w:r>
        <w:rPr>
          <w:rFonts w:ascii="宋体" w:hAnsi="宋体" w:eastAsia="宋体" w:cs="宋体"/>
          <w:kern w:val="0"/>
          <w:sz w:val="24"/>
          <w:szCs w:val="24"/>
          <w:lang w:val="en-US" w:eastAsia="zh-CN" w:bidi="ar"/>
        </w:rPr>
        <w:t>上传，选择上传时间后，下载模板后可批量</w:t>
      </w:r>
      <w:r>
        <w:rPr>
          <w:rFonts w:hint="eastAsia" w:ascii="宋体" w:hAnsi="宋体" w:eastAsia="宋体" w:cs="宋体"/>
          <w:kern w:val="0"/>
          <w:sz w:val="24"/>
          <w:szCs w:val="24"/>
          <w:lang w:val="en-US" w:eastAsia="zh-CN" w:bidi="ar"/>
        </w:rPr>
        <w:t>维护</w:t>
      </w:r>
      <w:r>
        <w:rPr>
          <w:rFonts w:hint="eastAsia" w:ascii="宋体" w:hAnsi="宋体" w:eastAsia="宋体" w:cs="宋体"/>
          <w:b/>
          <w:bCs/>
          <w:kern w:val="0"/>
          <w:sz w:val="24"/>
          <w:szCs w:val="24"/>
          <w:lang w:val="en-US" w:eastAsia="zh-CN" w:bidi="ar"/>
        </w:rPr>
        <w:t>电价</w:t>
      </w:r>
      <w:r>
        <w:rPr>
          <w:rFonts w:ascii="宋体" w:hAnsi="宋体" w:eastAsia="宋体" w:cs="宋体"/>
          <w:kern w:val="0"/>
          <w:sz w:val="24"/>
          <w:szCs w:val="24"/>
          <w:lang w:val="en-US" w:eastAsia="zh-CN" w:bidi="ar"/>
        </w:rPr>
        <w:t>信息，完成后一次性导入，无效数据将在导入无效数据内查看，可对应修改后再次上传。</w:t>
      </w:r>
    </w:p>
    <w:p w14:paraId="6D0DD9B1">
      <w:pPr>
        <w:spacing w:before="120" w:after="120" w:line="288" w:lineRule="auto"/>
        <w:ind w:left="0" w:firstLine="0"/>
        <w:jc w:val="left"/>
      </w:pPr>
      <w:r>
        <w:drawing>
          <wp:inline distT="0" distB="0" distL="114300" distR="114300">
            <wp:extent cx="5267960" cy="2941955"/>
            <wp:effectExtent l="0" t="0" r="8890" b="1079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18"/>
                    <a:stretch>
                      <a:fillRect/>
                    </a:stretch>
                  </pic:blipFill>
                  <pic:spPr>
                    <a:xfrm>
                      <a:off x="0" y="0"/>
                      <a:ext cx="5267960" cy="2941955"/>
                    </a:xfrm>
                    <a:prstGeom prst="rect">
                      <a:avLst/>
                    </a:prstGeom>
                    <a:noFill/>
                    <a:ln>
                      <a:noFill/>
                    </a:ln>
                  </pic:spPr>
                </pic:pic>
              </a:graphicData>
            </a:graphic>
          </wp:inline>
        </w:drawing>
      </w:r>
    </w:p>
    <w:p w14:paraId="46843FE6">
      <w:pPr>
        <w:spacing w:before="120" w:after="120" w:line="288" w:lineRule="auto"/>
        <w:ind w:left="0" w:firstLine="0"/>
        <w:jc w:val="left"/>
        <w:rPr>
          <w:rFonts w:hint="eastAsia" w:ascii="Arial" w:hAnsi="Arial" w:eastAsia="等线" w:cs="Arial"/>
          <w:b/>
          <w:bCs/>
          <w:sz w:val="22"/>
          <w:lang w:val="en-US" w:eastAsia="zh-CN"/>
        </w:rPr>
      </w:pPr>
    </w:p>
    <w:p w14:paraId="7E8787B1">
      <w:pPr>
        <w:spacing w:before="120" w:after="120" w:line="288" w:lineRule="auto"/>
        <w:ind w:left="0" w:firstLine="0"/>
        <w:jc w:val="left"/>
        <w:rPr>
          <w:rFonts w:hint="eastAsia" w:ascii="Arial" w:hAnsi="Arial" w:eastAsia="等线" w:cs="Arial"/>
          <w:b/>
          <w:bCs/>
          <w:sz w:val="22"/>
          <w:lang w:val="en-US" w:eastAsia="zh-CN"/>
        </w:rPr>
      </w:pPr>
    </w:p>
    <w:p w14:paraId="41E64DC9">
      <w:pPr>
        <w:spacing w:before="120" w:after="120" w:line="288" w:lineRule="auto"/>
        <w:ind w:left="0" w:firstLine="0"/>
        <w:jc w:val="left"/>
        <w:rPr>
          <w:rFonts w:hint="eastAsia" w:ascii="Arial" w:hAnsi="Arial" w:eastAsia="等线" w:cs="Arial"/>
          <w:b/>
          <w:bCs/>
          <w:sz w:val="22"/>
          <w:lang w:val="en-US" w:eastAsia="zh-CN"/>
        </w:rPr>
      </w:pPr>
    </w:p>
    <w:p w14:paraId="56C1DAB8">
      <w:pPr>
        <w:spacing w:before="120" w:after="120" w:line="288" w:lineRule="auto"/>
        <w:ind w:left="0" w:firstLine="0"/>
        <w:jc w:val="left"/>
        <w:rPr>
          <w:rFonts w:hint="eastAsia" w:ascii="Arial" w:hAnsi="Arial" w:eastAsia="等线" w:cs="Arial"/>
          <w:b/>
          <w:bCs/>
          <w:sz w:val="22"/>
          <w:lang w:val="en-US" w:eastAsia="zh-CN"/>
        </w:rPr>
      </w:pPr>
    </w:p>
    <w:p w14:paraId="35F4A98B">
      <w:pPr>
        <w:spacing w:before="120" w:after="120" w:line="288" w:lineRule="auto"/>
        <w:ind w:left="0" w:firstLine="0"/>
        <w:jc w:val="left"/>
        <w:rPr>
          <w:rFonts w:hint="eastAsia" w:ascii="Arial" w:hAnsi="Arial" w:eastAsia="等线" w:cs="Arial"/>
          <w:b/>
          <w:bCs/>
          <w:sz w:val="22"/>
          <w:lang w:val="en-US" w:eastAsia="zh-CN"/>
        </w:rPr>
      </w:pPr>
      <w:r>
        <w:rPr>
          <w:rFonts w:hint="eastAsia" w:ascii="Arial" w:hAnsi="Arial" w:eastAsia="等线" w:cs="Arial"/>
          <w:b/>
          <w:bCs/>
          <w:sz w:val="22"/>
          <w:lang w:val="en-US" w:eastAsia="zh-CN"/>
        </w:rPr>
        <w:t>「时段上传」按钮</w:t>
      </w:r>
    </w:p>
    <w:p w14:paraId="517694F6">
      <w:pPr>
        <w:spacing w:before="120" w:after="120" w:line="288" w:lineRule="auto"/>
        <w:ind w:left="0" w:firstLine="0"/>
        <w:jc w:val="left"/>
        <w:rPr>
          <w:rFonts w:hint="eastAsia"/>
          <w:lang w:val="en-US" w:eastAsia="zh-CN"/>
        </w:rPr>
      </w:pPr>
      <w:r>
        <w:rPr>
          <w:rFonts w:ascii="宋体" w:hAnsi="宋体" w:eastAsia="宋体" w:cs="宋体"/>
          <w:kern w:val="0"/>
          <w:sz w:val="24"/>
          <w:szCs w:val="24"/>
          <w:lang w:val="en-US" w:eastAsia="zh-CN" w:bidi="ar"/>
        </w:rPr>
        <w:t>点击</w:t>
      </w:r>
      <w:r>
        <w:rPr>
          <w:rFonts w:ascii="宋体" w:hAnsi="宋体" w:eastAsia="宋体" w:cs="宋体"/>
          <w:b/>
          <w:bCs/>
          <w:kern w:val="0"/>
          <w:sz w:val="24"/>
          <w:szCs w:val="24"/>
          <w:lang w:val="en-US" w:eastAsia="zh-CN" w:bidi="ar"/>
        </w:rPr>
        <w:t>时段</w:t>
      </w:r>
      <w:r>
        <w:rPr>
          <w:rFonts w:ascii="宋体" w:hAnsi="宋体" w:eastAsia="宋体" w:cs="宋体"/>
          <w:kern w:val="0"/>
          <w:sz w:val="24"/>
          <w:szCs w:val="24"/>
          <w:lang w:val="en-US" w:eastAsia="zh-CN" w:bidi="ar"/>
        </w:rPr>
        <w:t>上传，选择上传时间后，下载模板后可批量</w:t>
      </w:r>
      <w:r>
        <w:rPr>
          <w:rFonts w:hint="eastAsia" w:ascii="宋体" w:hAnsi="宋体" w:eastAsia="宋体" w:cs="宋体"/>
          <w:kern w:val="0"/>
          <w:sz w:val="24"/>
          <w:szCs w:val="24"/>
          <w:lang w:val="en-US" w:eastAsia="zh-CN" w:bidi="ar"/>
        </w:rPr>
        <w:t>维护</w:t>
      </w:r>
      <w:r>
        <w:rPr>
          <w:rFonts w:ascii="宋体" w:hAnsi="宋体" w:eastAsia="宋体" w:cs="宋体"/>
          <w:b/>
          <w:bCs/>
          <w:kern w:val="0"/>
          <w:sz w:val="24"/>
          <w:szCs w:val="24"/>
          <w:lang w:val="en-US" w:eastAsia="zh-CN" w:bidi="ar"/>
        </w:rPr>
        <w:t>时段</w:t>
      </w:r>
      <w:r>
        <w:rPr>
          <w:rFonts w:ascii="宋体" w:hAnsi="宋体" w:eastAsia="宋体" w:cs="宋体"/>
          <w:kern w:val="0"/>
          <w:sz w:val="24"/>
          <w:szCs w:val="24"/>
          <w:lang w:val="en-US" w:eastAsia="zh-CN" w:bidi="ar"/>
        </w:rPr>
        <w:t>信息，完成后一次性导入，无效数据将在导入无效数据内查看，可对应修改后再次上传。</w:t>
      </w:r>
      <w:r>
        <w:drawing>
          <wp:inline distT="0" distB="0" distL="114300" distR="114300">
            <wp:extent cx="5269230" cy="3528695"/>
            <wp:effectExtent l="0" t="0" r="7620" b="1460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119"/>
                    <a:stretch>
                      <a:fillRect/>
                    </a:stretch>
                  </pic:blipFill>
                  <pic:spPr>
                    <a:xfrm>
                      <a:off x="0" y="0"/>
                      <a:ext cx="5269230" cy="3528695"/>
                    </a:xfrm>
                    <a:prstGeom prst="rect">
                      <a:avLst/>
                    </a:prstGeom>
                    <a:noFill/>
                    <a:ln>
                      <a:noFill/>
                    </a:ln>
                  </pic:spPr>
                </pic:pic>
              </a:graphicData>
            </a:graphic>
          </wp:inline>
        </w:drawing>
      </w:r>
    </w:p>
    <w:p w14:paraId="7E980691">
      <w:pPr>
        <w:spacing w:before="120" w:after="120" w:line="288" w:lineRule="auto"/>
        <w:ind w:left="0" w:firstLine="0"/>
        <w:jc w:val="left"/>
        <w:rPr>
          <w:rFonts w:hint="eastAsia" w:ascii="Arial" w:hAnsi="Arial" w:eastAsia="等线" w:cs="Arial"/>
          <w:sz w:val="22"/>
          <w:u w:val="none"/>
          <w:lang w:val="en-US" w:eastAsia="zh"/>
        </w:rPr>
      </w:pPr>
      <w:r>
        <w:rPr>
          <w:rFonts w:hint="eastAsia" w:ascii="Arial" w:hAnsi="Arial" w:eastAsia="等线" w:cs="Arial"/>
          <w:b/>
          <w:bCs/>
          <w:sz w:val="22"/>
          <w:lang w:val="en-US" w:eastAsia="zh-CN"/>
        </w:rPr>
        <w:t>「发布/批量发布」按钮</w:t>
      </w:r>
    </w:p>
    <w:p w14:paraId="035C83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维护完毕后，点击发布以向租户及交易系统公开，点击发布/批量发布，将保存的信息正式发布使用；也可以在全部省份维护后，点击批量发布来一次性发布更新所有省份的信息数据。</w:t>
      </w:r>
    </w:p>
    <w:p w14:paraId="39716D9D">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5269865" cy="1964690"/>
            <wp:effectExtent l="0" t="0" r="6985" b="1651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20"/>
                    <a:stretch>
                      <a:fillRect/>
                    </a:stretch>
                  </pic:blipFill>
                  <pic:spPr>
                    <a:xfrm>
                      <a:off x="0" y="0"/>
                      <a:ext cx="5269865" cy="1964690"/>
                    </a:xfrm>
                    <a:prstGeom prst="rect">
                      <a:avLst/>
                    </a:prstGeom>
                    <a:noFill/>
                    <a:ln>
                      <a:noFill/>
                    </a:ln>
                  </pic:spPr>
                </pic:pic>
              </a:graphicData>
            </a:graphic>
          </wp:inline>
        </w:drawing>
      </w:r>
    </w:p>
    <w:p w14:paraId="563A8DF6">
      <w:pPr>
        <w:keepNext w:val="0"/>
        <w:keepLines w:val="0"/>
        <w:widowControl/>
        <w:suppressLineNumbers w:val="0"/>
        <w:jc w:val="left"/>
        <w:rPr>
          <w:rFonts w:hint="eastAsia" w:eastAsia="宋体" w:cs="宋体" w:asciiTheme="minorAscii" w:hAnsiTheme="minorAscii"/>
          <w:i/>
          <w:iCs/>
          <w:kern w:val="0"/>
          <w:sz w:val="24"/>
          <w:szCs w:val="24"/>
          <w:lang w:val="en-US" w:eastAsia="zh-CN" w:bidi="ar"/>
        </w:rPr>
      </w:pPr>
      <w:r>
        <w:rPr>
          <w:rFonts w:hint="default" w:eastAsia="宋体" w:cs="宋体" w:asciiTheme="minorAscii" w:hAnsiTheme="minorAscii"/>
          <w:i/>
          <w:iCs/>
          <w:kern w:val="0"/>
          <w:sz w:val="24"/>
          <w:szCs w:val="24"/>
          <w:lang w:val="en-US" w:eastAsia="zh-CN" w:bidi="ar"/>
        </w:rPr>
        <w:t>发布电价业务逻辑：当月(M)</w:t>
      </w:r>
      <w:r>
        <w:rPr>
          <w:rFonts w:hint="eastAsia" w:eastAsia="宋体" w:cs="宋体" w:asciiTheme="minorAscii" w:hAnsiTheme="minorAscii"/>
          <w:i/>
          <w:iCs/>
          <w:kern w:val="0"/>
          <w:sz w:val="24"/>
          <w:szCs w:val="24"/>
          <w:lang w:val="en-US" w:eastAsia="zh-CN" w:bidi="ar"/>
        </w:rPr>
        <w:t>月</w:t>
      </w:r>
      <w:r>
        <w:rPr>
          <w:rFonts w:hint="default" w:eastAsia="宋体" w:cs="宋体" w:asciiTheme="minorAscii" w:hAnsiTheme="minorAscii"/>
          <w:i/>
          <w:iCs/>
          <w:kern w:val="0"/>
          <w:sz w:val="24"/>
          <w:szCs w:val="24"/>
          <w:lang w:val="en-US" w:eastAsia="zh-CN" w:bidi="ar"/>
        </w:rPr>
        <w:t>底发布(M+1)月份的电价数据,</w:t>
      </w:r>
      <w:r>
        <w:rPr>
          <w:rFonts w:hint="eastAsia" w:eastAsia="宋体" w:cs="宋体" w:asciiTheme="minorAscii" w:hAnsiTheme="minorAscii"/>
          <w:i/>
          <w:iCs/>
          <w:kern w:val="0"/>
          <w:sz w:val="24"/>
          <w:szCs w:val="24"/>
          <w:lang w:val="en-US" w:eastAsia="zh-CN" w:bidi="ar"/>
        </w:rPr>
        <w:t>然后</w:t>
      </w:r>
      <w:r>
        <w:rPr>
          <w:rFonts w:hint="default" w:eastAsia="宋体" w:cs="宋体" w:asciiTheme="minorAscii" w:hAnsiTheme="minorAscii"/>
          <w:i/>
          <w:iCs/>
          <w:kern w:val="0"/>
          <w:sz w:val="24"/>
          <w:szCs w:val="24"/>
          <w:lang w:val="en-US" w:eastAsia="zh-CN" w:bidi="ar"/>
        </w:rPr>
        <w:t>生成</w:t>
      </w:r>
      <w:r>
        <w:rPr>
          <w:rFonts w:hint="eastAsia" w:eastAsia="宋体" w:cs="宋体" w:asciiTheme="minorAscii" w:hAnsiTheme="minorAscii"/>
          <w:i/>
          <w:iCs/>
          <w:kern w:val="0"/>
          <w:sz w:val="24"/>
          <w:szCs w:val="24"/>
          <w:lang w:val="en-US" w:eastAsia="zh-CN" w:bidi="ar"/>
        </w:rPr>
        <w:t>(</w:t>
      </w:r>
      <w:r>
        <w:rPr>
          <w:rFonts w:hint="default" w:eastAsia="宋体" w:cs="宋体" w:asciiTheme="minorAscii" w:hAnsiTheme="minorAscii"/>
          <w:i/>
          <w:iCs/>
          <w:kern w:val="0"/>
          <w:sz w:val="24"/>
          <w:szCs w:val="24"/>
          <w:lang w:val="en-US" w:eastAsia="zh-CN" w:bidi="ar"/>
        </w:rPr>
        <w:t>M+2</w:t>
      </w:r>
      <w:r>
        <w:rPr>
          <w:rFonts w:hint="eastAsia" w:eastAsia="宋体" w:cs="宋体" w:asciiTheme="minorAscii" w:hAnsiTheme="minorAscii"/>
          <w:i/>
          <w:iCs/>
          <w:kern w:val="0"/>
          <w:sz w:val="24"/>
          <w:szCs w:val="24"/>
          <w:lang w:val="en-US" w:eastAsia="zh-CN" w:bidi="ar"/>
        </w:rPr>
        <w:t>)</w:t>
      </w:r>
      <w:r>
        <w:rPr>
          <w:rFonts w:hint="default" w:eastAsia="宋体" w:cs="宋体" w:asciiTheme="minorAscii" w:hAnsiTheme="minorAscii"/>
          <w:i/>
          <w:iCs/>
          <w:kern w:val="0"/>
          <w:sz w:val="24"/>
          <w:szCs w:val="24"/>
          <w:lang w:val="en-US" w:eastAsia="zh-CN" w:bidi="ar"/>
        </w:rPr>
        <w:t>月份编辑中的电价数据(取M+1月份 数据)</w:t>
      </w:r>
      <w:r>
        <w:rPr>
          <w:rFonts w:hint="eastAsia" w:eastAsia="宋体" w:cs="宋体" w:asciiTheme="minorAscii" w:hAnsiTheme="minorAscii"/>
          <w:i/>
          <w:iCs/>
          <w:kern w:val="0"/>
          <w:sz w:val="24"/>
          <w:szCs w:val="24"/>
          <w:lang w:val="en-US" w:eastAsia="zh-CN" w:bidi="ar"/>
        </w:rPr>
        <w:t xml:space="preserve"> </w:t>
      </w:r>
    </w:p>
    <w:p w14:paraId="093BBC4D">
      <w:pPr>
        <w:keepNext w:val="0"/>
        <w:keepLines w:val="0"/>
        <w:widowControl/>
        <w:suppressLineNumbers w:val="0"/>
        <w:jc w:val="left"/>
        <w:rPr>
          <w:rFonts w:ascii="宋体" w:hAnsi="宋体" w:eastAsia="宋体" w:cs="宋体"/>
          <w:kern w:val="0"/>
          <w:sz w:val="24"/>
          <w:szCs w:val="24"/>
          <w:lang w:val="en-US" w:eastAsia="zh-CN" w:bidi="ar"/>
        </w:rPr>
      </w:pPr>
      <w:r>
        <w:rPr>
          <w:sz w:val="24"/>
        </w:rPr>
        <w:pict>
          <v:shape id="_x0000_s1026" o:spid="_x0000_s1026" o:spt="202" type="#_x0000_t202" style="position:absolute;left:0pt;margin-left:1.85pt;margin-top:5.65pt;height:144pt;width:144pt;mso-wrap-distance-bottom:0pt;mso-wrap-distance-left:9pt;mso-wrap-distance-right:9pt;mso-wrap-distance-top:0pt;mso-wrap-style:none;z-index:251659264;mso-width-relative:page;mso-height-relative:page;" fillcolor="#FFFFFF" filled="t" stroked="t" coordsize="21600,21600">
            <v:path/>
            <v:fill on="t" focussize="0,0"/>
            <v:stroke color="#000000"/>
            <v:imagedata o:title=""/>
            <o:lock v:ext="edit" aspectratio="f"/>
            <v:textbox style="mso-fit-shape-to-text:t;">
              <w:txbxContent>
                <w:p w14:paraId="487E1512">
                  <w:pPr>
                    <w:keepNext w:val="0"/>
                    <w:keepLines w:val="0"/>
                    <w:widowControl/>
                    <w:suppressLineNumbers w:val="0"/>
                    <w:jc w:val="left"/>
                    <w:rPr>
                      <w:rFonts w:hint="default" w:asciiTheme="minorAscii" w:hAnsiTheme="minorAscii"/>
                      <w:i/>
                      <w:iCs/>
                    </w:rPr>
                  </w:pPr>
                  <w:r>
                    <w:rPr>
                      <w:rFonts w:hint="default" w:eastAsia="宋体" w:cs="宋体" w:asciiTheme="minorAscii" w:hAnsiTheme="minorAscii"/>
                      <w:i/>
                      <w:iCs/>
                      <w:kern w:val="0"/>
                      <w:sz w:val="24"/>
                      <w:szCs w:val="24"/>
                      <w:lang w:val="en-US" w:eastAsia="zh-CN" w:bidi="ar"/>
                    </w:rPr>
                    <w:t>已存在就更新</w:t>
                  </w:r>
                  <w:r>
                    <w:rPr>
                      <w:rFonts w:hint="eastAsia" w:eastAsia="宋体" w:cs="宋体" w:asciiTheme="minorAscii" w:hAnsiTheme="minorAscii"/>
                      <w:i/>
                      <w:iCs/>
                      <w:kern w:val="0"/>
                      <w:sz w:val="24"/>
                      <w:szCs w:val="24"/>
                      <w:lang w:val="en-US" w:eastAsia="zh-CN" w:bidi="ar"/>
                    </w:rPr>
                    <w:t>：</w:t>
                  </w:r>
                  <w:r>
                    <w:rPr>
                      <w:rFonts w:ascii="宋体" w:hAnsi="宋体" w:eastAsia="宋体" w:cs="宋体"/>
                      <w:kern w:val="0"/>
                      <w:sz w:val="24"/>
                      <w:szCs w:val="24"/>
                      <w:lang w:val="en-US" w:eastAsia="zh-CN" w:bidi="ar"/>
                    </w:rPr>
                    <w:t>“定时任务逻辑”或其他方式生成的M+2的数据</w:t>
                  </w:r>
                </w:p>
              </w:txbxContent>
            </v:textbox>
            <w10:wrap type="square"/>
          </v:shape>
        </w:pict>
      </w:r>
    </w:p>
    <w:p w14:paraId="472BAD7C">
      <w:pPr>
        <w:keepNext w:val="0"/>
        <w:keepLines w:val="0"/>
        <w:widowControl/>
        <w:suppressLineNumbers w:val="0"/>
        <w:jc w:val="left"/>
        <w:rPr>
          <w:rFonts w:ascii="宋体" w:hAnsi="宋体" w:eastAsia="宋体" w:cs="宋体"/>
          <w:kern w:val="0"/>
          <w:sz w:val="24"/>
          <w:szCs w:val="24"/>
          <w:highlight w:val="yellow"/>
          <w:lang w:val="en-US" w:eastAsia="zh-CN" w:bidi="ar"/>
        </w:rPr>
      </w:pPr>
    </w:p>
    <w:p w14:paraId="505C870D">
      <w:pPr>
        <w:keepNext w:val="0"/>
        <w:keepLines w:val="0"/>
        <w:widowControl/>
        <w:suppressLineNumbers w:val="0"/>
        <w:jc w:val="left"/>
        <w:rPr>
          <w:rStyle w:val="16"/>
          <w:rFonts w:hint="eastAsia" w:ascii="宋体" w:hAnsi="宋体" w:eastAsia="宋体" w:cs="宋体"/>
          <w:kern w:val="0"/>
          <w:sz w:val="24"/>
          <w:szCs w:val="24"/>
          <w:lang w:val="en-US" w:eastAsia="zh-CN" w:bidi="ar"/>
        </w:rPr>
      </w:pPr>
    </w:p>
    <w:p w14:paraId="18DB767E">
      <w:pPr>
        <w:keepNext w:val="0"/>
        <w:keepLines w:val="0"/>
        <w:widowControl/>
        <w:suppressLineNumbers w:val="0"/>
        <w:jc w:val="left"/>
        <w:rPr>
          <w:highlight w:val="yellow"/>
        </w:rPr>
      </w:pPr>
      <w:r>
        <w:rPr>
          <w:rStyle w:val="16"/>
          <w:rFonts w:hint="eastAsia" w:ascii="宋体" w:hAnsi="宋体" w:eastAsia="宋体" w:cs="宋体"/>
          <w:kern w:val="0"/>
          <w:sz w:val="24"/>
          <w:szCs w:val="24"/>
          <w:highlight w:val="yellow"/>
          <w:lang w:val="en-US" w:eastAsia="zh-CN" w:bidi="ar"/>
        </w:rPr>
        <w:t>注意：</w:t>
      </w:r>
      <w:r>
        <w:rPr>
          <w:rStyle w:val="16"/>
          <w:rFonts w:ascii="宋体" w:hAnsi="宋体" w:eastAsia="宋体" w:cs="宋体"/>
          <w:kern w:val="0"/>
          <w:sz w:val="24"/>
          <w:szCs w:val="24"/>
          <w:highlight w:val="yellow"/>
          <w:lang w:val="en-US" w:eastAsia="zh-CN" w:bidi="ar"/>
        </w:rPr>
        <w:t>未发布的情况下可以直接操作，已发布的情况下是置灰的</w:t>
      </w:r>
      <w:r>
        <w:rPr>
          <w:rStyle w:val="16"/>
          <w:rFonts w:hint="eastAsia" w:ascii="宋体" w:hAnsi="宋体" w:eastAsia="宋体" w:cs="宋体"/>
          <w:kern w:val="0"/>
          <w:sz w:val="24"/>
          <w:szCs w:val="24"/>
          <w:highlight w:val="yellow"/>
          <w:lang w:val="en-US" w:eastAsia="zh-CN" w:bidi="ar"/>
        </w:rPr>
        <w:t>；</w:t>
      </w:r>
      <w:r>
        <w:rPr>
          <w:rStyle w:val="16"/>
          <w:rFonts w:ascii="宋体" w:hAnsi="宋体" w:eastAsia="宋体" w:cs="宋体"/>
          <w:kern w:val="0"/>
          <w:sz w:val="24"/>
          <w:szCs w:val="24"/>
          <w:highlight w:val="yellow"/>
          <w:lang w:val="en-US" w:eastAsia="zh-CN" w:bidi="ar"/>
        </w:rPr>
        <w:t>只有修改页面</w:t>
      </w:r>
      <w:r>
        <w:rPr>
          <w:rStyle w:val="16"/>
          <w:rFonts w:hint="eastAsia" w:ascii="宋体" w:hAnsi="宋体" w:eastAsia="宋体" w:cs="宋体"/>
          <w:kern w:val="0"/>
          <w:sz w:val="24"/>
          <w:szCs w:val="24"/>
          <w:highlight w:val="yellow"/>
          <w:lang w:val="en-US" w:eastAsia="zh-CN" w:bidi="ar"/>
        </w:rPr>
        <w:t>并</w:t>
      </w:r>
      <w:r>
        <w:rPr>
          <w:rStyle w:val="16"/>
          <w:rFonts w:ascii="宋体" w:hAnsi="宋体" w:eastAsia="宋体" w:cs="宋体"/>
          <w:kern w:val="0"/>
          <w:sz w:val="24"/>
          <w:szCs w:val="24"/>
          <w:highlight w:val="yellow"/>
          <w:lang w:val="en-US" w:eastAsia="zh-CN" w:bidi="ar"/>
        </w:rPr>
        <w:t>保存后才能重新</w:t>
      </w:r>
      <w:r>
        <w:rPr>
          <w:rStyle w:val="16"/>
          <w:rFonts w:hint="eastAsia" w:ascii="宋体" w:hAnsi="宋体" w:eastAsia="宋体" w:cs="宋体"/>
          <w:kern w:val="0"/>
          <w:sz w:val="24"/>
          <w:szCs w:val="24"/>
          <w:highlight w:val="yellow"/>
          <w:lang w:val="en-US" w:eastAsia="zh-CN" w:bidi="ar"/>
        </w:rPr>
        <w:t>发布！</w:t>
      </w:r>
    </w:p>
    <w:p w14:paraId="6C986311">
      <w:pPr>
        <w:keepNext w:val="0"/>
        <w:keepLines w:val="0"/>
        <w:widowControl/>
        <w:suppressLineNumbers w:val="0"/>
        <w:jc w:val="left"/>
        <w:rPr>
          <w:rFonts w:ascii="宋体" w:hAnsi="宋体" w:eastAsia="宋体" w:cs="宋体"/>
          <w:kern w:val="0"/>
          <w:sz w:val="24"/>
          <w:szCs w:val="24"/>
          <w:highlight w:val="yellow"/>
          <w:lang w:val="en-US" w:eastAsia="zh-CN" w:bidi="ar"/>
        </w:rPr>
      </w:pPr>
    </w:p>
    <w:p w14:paraId="7034390D">
      <w:pPr>
        <w:spacing w:before="120" w:after="120" w:line="288" w:lineRule="auto"/>
        <w:ind w:left="0" w:firstLine="0"/>
        <w:jc w:val="left"/>
        <w:rPr>
          <w:rFonts w:ascii="宋体" w:hAnsi="宋体" w:eastAsia="宋体" w:cs="宋体"/>
          <w:kern w:val="0"/>
          <w:sz w:val="24"/>
          <w:szCs w:val="24"/>
          <w:lang w:val="en-US" w:eastAsia="zh-CN" w:bidi="ar"/>
        </w:rPr>
      </w:pPr>
      <w:r>
        <w:rPr>
          <w:rFonts w:hint="eastAsia" w:ascii="Arial" w:hAnsi="Arial" w:eastAsia="等线" w:cs="Arial"/>
          <w:b/>
          <w:bCs/>
          <w:sz w:val="22"/>
          <w:lang w:val="en-US" w:eastAsia="zh-CN"/>
        </w:rPr>
        <w:t>「电价上传」按钮</w:t>
      </w:r>
    </w:p>
    <w:p w14:paraId="37BFF9D0">
      <w:pPr>
        <w:spacing w:before="120" w:after="120" w:line="288" w:lineRule="auto"/>
        <w:ind w:left="0" w:firstLine="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查看的是已发布的电价、时段数据，只有发布/批量发布操作会更新这块数据</w:t>
      </w:r>
      <w:r>
        <w:rPr>
          <w:rFonts w:hint="eastAsia" w:ascii="宋体" w:hAnsi="宋体" w:eastAsia="宋体" w:cs="宋体"/>
          <w:kern w:val="0"/>
          <w:sz w:val="24"/>
          <w:szCs w:val="24"/>
          <w:lang w:val="en-US" w:eastAsia="zh-CN" w:bidi="ar"/>
        </w:rPr>
        <w:t>。</w:t>
      </w:r>
    </w:p>
    <w:p w14:paraId="559075BF">
      <w:pPr>
        <w:pStyle w:val="6"/>
        <w:keepNext w:val="0"/>
        <w:keepLines w:val="0"/>
        <w:widowControl/>
        <w:suppressLineNumbers w:val="0"/>
        <w:rPr>
          <w:sz w:val="24"/>
          <w:szCs w:val="24"/>
        </w:rPr>
      </w:pPr>
      <w:r>
        <w:rPr>
          <w:sz w:val="24"/>
          <w:szCs w:val="24"/>
        </w:rPr>
        <w:t>整体流程</w:t>
      </w:r>
    </w:p>
    <w:p w14:paraId="0BFF46AF">
      <w:pPr>
        <w:keepNext w:val="0"/>
        <w:keepLines w:val="0"/>
        <w:widowControl/>
        <w:suppressLineNumbers w:val="0"/>
        <w:jc w:val="left"/>
        <w:rPr>
          <w:rStyle w:val="16"/>
          <w:rFonts w:ascii="宋体" w:hAnsi="宋体" w:eastAsia="宋体" w:cs="宋体"/>
          <w:kern w:val="0"/>
          <w:sz w:val="20"/>
          <w:szCs w:val="20"/>
          <w:lang w:val="en-US" w:eastAsia="zh-CN" w:bidi="ar"/>
        </w:rPr>
      </w:pPr>
      <w:r>
        <w:rPr>
          <w:rStyle w:val="16"/>
          <w:rFonts w:ascii="宋体" w:hAnsi="宋体" w:eastAsia="宋体" w:cs="宋体"/>
          <w:kern w:val="0"/>
          <w:sz w:val="20"/>
          <w:szCs w:val="20"/>
          <w:lang w:val="en-US" w:eastAsia="zh-CN" w:bidi="ar"/>
        </w:rPr>
        <w:t>默认数据 -&gt; 修改 -&gt; 维护</w:t>
      </w:r>
      <w:r>
        <w:rPr>
          <w:rStyle w:val="16"/>
          <w:rFonts w:hint="eastAsia" w:ascii="宋体" w:hAnsi="宋体" w:eastAsia="宋体" w:cs="宋体"/>
          <w:kern w:val="0"/>
          <w:sz w:val="20"/>
          <w:szCs w:val="20"/>
          <w:lang w:val="en-US" w:eastAsia="zh-CN" w:bidi="ar"/>
        </w:rPr>
        <w:t>并确认</w:t>
      </w:r>
      <w:r>
        <w:rPr>
          <w:rStyle w:val="16"/>
          <w:rFonts w:ascii="宋体" w:hAnsi="宋体" w:eastAsia="宋体" w:cs="宋体"/>
          <w:kern w:val="0"/>
          <w:sz w:val="20"/>
          <w:szCs w:val="20"/>
          <w:lang w:val="en-US" w:eastAsia="zh-CN" w:bidi="ar"/>
        </w:rPr>
        <w:t>电价&amp;时段数据 -&gt; 保存 -&gt; 发布/批量发布</w:t>
      </w:r>
    </w:p>
    <w:p w14:paraId="3B89079D">
      <w:pPr>
        <w:keepNext w:val="0"/>
        <w:keepLines w:val="0"/>
        <w:widowControl/>
        <w:suppressLineNumbers w:val="0"/>
        <w:jc w:val="left"/>
        <w:rPr>
          <w:rStyle w:val="16"/>
          <w:rFonts w:ascii="宋体" w:hAnsi="宋体" w:eastAsia="宋体" w:cs="宋体"/>
          <w:kern w:val="0"/>
          <w:sz w:val="20"/>
          <w:szCs w:val="20"/>
          <w:lang w:val="en-US" w:eastAsia="zh-CN" w:bidi="ar"/>
        </w:rPr>
      </w:pPr>
      <w:r>
        <w:rPr>
          <w:rStyle w:val="16"/>
          <w:rFonts w:hint="eastAsia" w:ascii="宋体" w:hAnsi="宋体" w:eastAsia="宋体" w:cs="宋体"/>
          <w:kern w:val="0"/>
          <w:sz w:val="20"/>
          <w:szCs w:val="20"/>
          <w:highlight w:val="yellow"/>
          <w:lang w:val="en-US" w:eastAsia="zh-CN" w:bidi="ar"/>
        </w:rPr>
        <w:t>或</w:t>
      </w:r>
    </w:p>
    <w:p w14:paraId="15E507F9">
      <w:pPr>
        <w:keepNext w:val="0"/>
        <w:keepLines w:val="0"/>
        <w:widowControl/>
        <w:suppressLineNumbers w:val="0"/>
        <w:jc w:val="left"/>
        <w:rPr>
          <w:sz w:val="18"/>
          <w:szCs w:val="18"/>
        </w:rPr>
      </w:pPr>
      <w:r>
        <w:rPr>
          <w:rStyle w:val="16"/>
          <w:rFonts w:ascii="宋体" w:hAnsi="宋体" w:eastAsia="宋体" w:cs="宋体"/>
          <w:kern w:val="0"/>
          <w:sz w:val="18"/>
          <w:szCs w:val="18"/>
          <w:lang w:val="en-US" w:eastAsia="zh-CN" w:bidi="ar"/>
        </w:rPr>
        <w:t>默认数据 -&gt;上传电价</w:t>
      </w:r>
      <w:r>
        <w:rPr>
          <w:rStyle w:val="16"/>
          <w:rFonts w:hint="eastAsia" w:ascii="宋体" w:hAnsi="宋体" w:eastAsia="宋体" w:cs="宋体"/>
          <w:kern w:val="0"/>
          <w:sz w:val="18"/>
          <w:szCs w:val="18"/>
          <w:lang w:val="en-US" w:eastAsia="zh-CN" w:bidi="ar"/>
        </w:rPr>
        <w:t>&amp;</w:t>
      </w:r>
      <w:r>
        <w:rPr>
          <w:rStyle w:val="16"/>
          <w:rFonts w:ascii="宋体" w:hAnsi="宋体" w:eastAsia="宋体" w:cs="宋体"/>
          <w:kern w:val="0"/>
          <w:sz w:val="18"/>
          <w:szCs w:val="18"/>
          <w:lang w:val="en-US" w:eastAsia="zh-CN" w:bidi="ar"/>
        </w:rPr>
        <w:t>时段 -&gt; 修改 -&gt; 维护</w:t>
      </w:r>
      <w:r>
        <w:rPr>
          <w:rStyle w:val="16"/>
          <w:rFonts w:hint="eastAsia" w:ascii="宋体" w:hAnsi="宋体" w:eastAsia="宋体" w:cs="宋体"/>
          <w:kern w:val="0"/>
          <w:sz w:val="18"/>
          <w:szCs w:val="18"/>
          <w:lang w:val="en-US" w:eastAsia="zh-CN" w:bidi="ar"/>
        </w:rPr>
        <w:t>并确认</w:t>
      </w:r>
      <w:r>
        <w:rPr>
          <w:rStyle w:val="16"/>
          <w:rFonts w:ascii="宋体" w:hAnsi="宋体" w:eastAsia="宋体" w:cs="宋体"/>
          <w:kern w:val="0"/>
          <w:sz w:val="18"/>
          <w:szCs w:val="18"/>
          <w:lang w:val="en-US" w:eastAsia="zh-CN" w:bidi="ar"/>
        </w:rPr>
        <w:t>电价&amp;时段数据 -&gt; 保存 -&gt; 发布/批量发布</w:t>
      </w:r>
    </w:p>
    <w:p w14:paraId="6AD8E085">
      <w:pPr>
        <w:keepNext w:val="0"/>
        <w:keepLines w:val="0"/>
        <w:widowControl/>
        <w:suppressLineNumbers w:val="0"/>
        <w:jc w:val="left"/>
        <w:rPr>
          <w:rFonts w:ascii="宋体" w:hAnsi="宋体" w:eastAsia="宋体" w:cs="宋体"/>
          <w:kern w:val="0"/>
          <w:sz w:val="24"/>
          <w:szCs w:val="24"/>
          <w:highlight w:val="yellow"/>
          <w:lang w:val="en-US" w:eastAsia="zh-CN" w:bidi="ar"/>
        </w:rPr>
      </w:pPr>
    </w:p>
    <w:p w14:paraId="21EEA63B">
      <w:pPr>
        <w:keepNext w:val="0"/>
        <w:keepLines w:val="0"/>
        <w:widowControl/>
        <w:suppressLineNumbers w:val="0"/>
        <w:pBdr>
          <w:bottom w:val="double" w:color="auto" w:sz="4" w:space="0"/>
        </w:pBdr>
        <w:jc w:val="left"/>
        <w:rPr>
          <w:rFonts w:ascii="宋体" w:hAnsi="宋体" w:eastAsia="宋体" w:cs="宋体"/>
          <w:kern w:val="0"/>
          <w:sz w:val="24"/>
          <w:szCs w:val="24"/>
          <w:highlight w:val="yellow"/>
          <w:lang w:val="en-US" w:eastAsia="zh-CN" w:bidi="ar"/>
        </w:rPr>
      </w:pPr>
    </w:p>
    <w:p w14:paraId="5645E459">
      <w:pPr>
        <w:keepNext w:val="0"/>
        <w:keepLines w:val="0"/>
        <w:widowControl/>
        <w:suppressLineNumbers w:val="0"/>
        <w:jc w:val="left"/>
        <w:rPr>
          <w:rFonts w:hint="default" w:ascii="宋体" w:hAnsi="宋体" w:eastAsia="宋体" w:cs="宋体"/>
          <w:kern w:val="0"/>
          <w:sz w:val="24"/>
          <w:szCs w:val="24"/>
          <w:highlight w:val="yellow"/>
          <w:lang w:val="en-US" w:eastAsia="zh-CN" w:bidi="ar"/>
        </w:rPr>
      </w:pPr>
    </w:p>
    <w:p w14:paraId="13E7509F">
      <w:pPr>
        <w:keepNext w:val="0"/>
        <w:keepLines w:val="0"/>
        <w:widowControl/>
        <w:suppressLineNumbers w:val="0"/>
        <w:jc w:val="left"/>
        <w:rPr>
          <w:rFonts w:ascii="宋体" w:hAnsi="宋体" w:eastAsia="宋体" w:cs="宋体"/>
          <w:kern w:val="0"/>
          <w:sz w:val="24"/>
          <w:szCs w:val="24"/>
          <w:highlight w:val="yellow"/>
          <w:lang w:val="en-US" w:eastAsia="zh-CN" w:bidi="ar"/>
        </w:rPr>
      </w:pPr>
      <w:r>
        <w:rPr>
          <w:rFonts w:ascii="宋体" w:hAnsi="宋体" w:eastAsia="宋体" w:cs="宋体"/>
          <w:kern w:val="0"/>
          <w:sz w:val="24"/>
          <w:szCs w:val="24"/>
          <w:highlight w:val="yellow"/>
          <w:lang w:val="en-US" w:eastAsia="zh-CN" w:bidi="ar"/>
        </w:rPr>
        <w:t>注意：</w:t>
      </w:r>
    </w:p>
    <w:p w14:paraId="797C2091">
      <w:pPr>
        <w:keepNext w:val="0"/>
        <w:keepLines w:val="0"/>
        <w:widowControl/>
        <w:numPr>
          <w:ilvl w:val="0"/>
          <w:numId w:val="3"/>
        </w:numPr>
        <w:suppressLineNumbers w:val="0"/>
        <w:jc w:val="left"/>
        <w:rPr>
          <w:rFonts w:ascii="宋体" w:hAnsi="宋体" w:eastAsia="宋体" w:cs="宋体"/>
          <w:kern w:val="0"/>
          <w:sz w:val="24"/>
          <w:szCs w:val="24"/>
          <w:highlight w:val="yellow"/>
          <w:lang w:val="en-US" w:eastAsia="zh-CN" w:bidi="ar"/>
        </w:rPr>
      </w:pPr>
      <w:r>
        <w:rPr>
          <w:rFonts w:ascii="宋体" w:hAnsi="宋体" w:eastAsia="宋体" w:cs="宋体"/>
          <w:kern w:val="0"/>
          <w:sz w:val="24"/>
          <w:szCs w:val="24"/>
          <w:highlight w:val="yellow"/>
          <w:lang w:val="en-US" w:eastAsia="zh-CN" w:bidi="ar"/>
        </w:rPr>
        <w:t>当月初始编辑中数据为默认模板数据，不可作为最终真实发布数据</w:t>
      </w:r>
      <w:r>
        <w:rPr>
          <w:rFonts w:hint="eastAsia" w:ascii="宋体" w:hAnsi="宋体" w:eastAsia="宋体" w:cs="宋体"/>
          <w:kern w:val="0"/>
          <w:sz w:val="24"/>
          <w:szCs w:val="24"/>
          <w:highlight w:val="yellow"/>
          <w:lang w:val="en-US" w:eastAsia="zh-CN" w:bidi="ar"/>
        </w:rPr>
        <w:t>。</w:t>
      </w:r>
    </w:p>
    <w:p w14:paraId="5EC63D7C">
      <w:pPr>
        <w:keepNext w:val="0"/>
        <w:keepLines w:val="0"/>
        <w:widowControl/>
        <w:numPr>
          <w:ilvl w:val="0"/>
          <w:numId w:val="0"/>
        </w:numPr>
        <w:suppressLineNumbers w:val="0"/>
        <w:jc w:val="left"/>
        <w:rPr>
          <w:rFonts w:hint="default"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2.</w:t>
      </w:r>
      <w:r>
        <w:rPr>
          <w:rFonts w:ascii="宋体" w:hAnsi="宋体" w:eastAsia="宋体" w:cs="宋体"/>
          <w:kern w:val="0"/>
          <w:sz w:val="24"/>
          <w:szCs w:val="24"/>
          <w:highlight w:val="yellow"/>
          <w:lang w:val="en-US" w:eastAsia="zh-CN" w:bidi="ar"/>
        </w:rPr>
        <w:t>下载的模板默认是所有区域所有用电性质和电压等级数据，如果需要更新指定省份数据，删除其它省份数据</w:t>
      </w:r>
      <w:r>
        <w:rPr>
          <w:rFonts w:hint="eastAsia" w:ascii="宋体" w:hAnsi="宋体" w:eastAsia="宋体" w:cs="宋体"/>
          <w:kern w:val="0"/>
          <w:sz w:val="24"/>
          <w:szCs w:val="24"/>
          <w:highlight w:val="yellow"/>
          <w:lang w:val="en-US" w:eastAsia="zh-CN" w:bidi="ar"/>
        </w:rPr>
        <w:t>即可。</w:t>
      </w:r>
    </w:p>
    <w:p w14:paraId="356F44C6">
      <w:pPr>
        <w:keepNext w:val="0"/>
        <w:keepLines w:val="0"/>
        <w:widowControl/>
        <w:numPr>
          <w:ilvl w:val="0"/>
          <w:numId w:val="0"/>
        </w:numPr>
        <w:suppressLineNumbers w:val="0"/>
        <w:jc w:val="left"/>
        <w:rPr>
          <w:rFonts w:hint="eastAsia"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3.批量电价上传、时段上传</w:t>
      </w:r>
      <w:r>
        <w:rPr>
          <w:rFonts w:ascii="宋体" w:hAnsi="宋体" w:eastAsia="宋体" w:cs="宋体"/>
          <w:kern w:val="0"/>
          <w:sz w:val="24"/>
          <w:szCs w:val="24"/>
          <w:highlight w:val="yellow"/>
          <w:lang w:val="en-US" w:eastAsia="zh-CN" w:bidi="ar"/>
        </w:rPr>
        <w:t>数据</w:t>
      </w:r>
      <w:r>
        <w:rPr>
          <w:rFonts w:hint="eastAsia" w:ascii="宋体" w:hAnsi="宋体" w:eastAsia="宋体" w:cs="宋体"/>
          <w:kern w:val="0"/>
          <w:sz w:val="24"/>
          <w:szCs w:val="24"/>
          <w:highlight w:val="yellow"/>
          <w:lang w:val="en-US" w:eastAsia="zh-CN" w:bidi="ar"/>
        </w:rPr>
        <w:t>后，</w:t>
      </w:r>
      <w:r>
        <w:rPr>
          <w:rFonts w:ascii="宋体" w:hAnsi="宋体" w:eastAsia="宋体" w:cs="宋体"/>
          <w:kern w:val="0"/>
          <w:sz w:val="24"/>
          <w:szCs w:val="24"/>
          <w:highlight w:val="yellow"/>
          <w:lang w:val="en-US" w:eastAsia="zh-CN" w:bidi="ar"/>
        </w:rPr>
        <w:t>更新的是当前选择月份的</w:t>
      </w:r>
      <w:r>
        <w:rPr>
          <w:rFonts w:ascii="宋体" w:hAnsi="宋体" w:eastAsia="宋体" w:cs="宋体"/>
          <w:b/>
          <w:bCs/>
          <w:kern w:val="0"/>
          <w:sz w:val="24"/>
          <w:szCs w:val="24"/>
          <w:highlight w:val="yellow"/>
          <w:lang w:val="en-US" w:eastAsia="zh-CN" w:bidi="ar"/>
        </w:rPr>
        <w:t>编辑中</w:t>
      </w:r>
      <w:r>
        <w:rPr>
          <w:rFonts w:ascii="宋体" w:hAnsi="宋体" w:eastAsia="宋体" w:cs="宋体"/>
          <w:kern w:val="0"/>
          <w:sz w:val="24"/>
          <w:szCs w:val="24"/>
          <w:highlight w:val="yellow"/>
          <w:lang w:val="en-US" w:eastAsia="zh-CN" w:bidi="ar"/>
        </w:rPr>
        <w:t>数据，不影响已发布数据</w:t>
      </w:r>
      <w:r>
        <w:rPr>
          <w:rFonts w:hint="eastAsia" w:ascii="宋体" w:hAnsi="宋体" w:eastAsia="宋体" w:cs="宋体"/>
          <w:kern w:val="0"/>
          <w:sz w:val="24"/>
          <w:szCs w:val="24"/>
          <w:highlight w:val="yellow"/>
          <w:lang w:val="en-US" w:eastAsia="zh-CN" w:bidi="ar"/>
        </w:rPr>
        <w:t>；若需要调整已发布数据，</w:t>
      </w:r>
      <w:r>
        <w:rPr>
          <w:rFonts w:ascii="宋体" w:hAnsi="宋体" w:eastAsia="宋体" w:cs="宋体"/>
          <w:kern w:val="0"/>
          <w:sz w:val="24"/>
          <w:szCs w:val="24"/>
          <w:highlight w:val="yellow"/>
          <w:lang w:val="en-US" w:eastAsia="zh-CN" w:bidi="ar"/>
        </w:rPr>
        <w:t>需要修改</w:t>
      </w:r>
      <w:r>
        <w:rPr>
          <w:rFonts w:hint="eastAsia" w:ascii="宋体" w:hAnsi="宋体" w:eastAsia="宋体" w:cs="宋体"/>
          <w:kern w:val="0"/>
          <w:sz w:val="24"/>
          <w:szCs w:val="24"/>
          <w:highlight w:val="yellow"/>
          <w:lang w:val="en-US" w:eastAsia="zh-CN" w:bidi="ar"/>
        </w:rPr>
        <w:t>并</w:t>
      </w:r>
      <w:r>
        <w:rPr>
          <w:rFonts w:ascii="宋体" w:hAnsi="宋体" w:eastAsia="宋体" w:cs="宋体"/>
          <w:kern w:val="0"/>
          <w:sz w:val="24"/>
          <w:szCs w:val="24"/>
          <w:highlight w:val="yellow"/>
          <w:lang w:val="en-US" w:eastAsia="zh-CN" w:bidi="ar"/>
        </w:rPr>
        <w:t>保存后重新发布</w:t>
      </w:r>
      <w:r>
        <w:rPr>
          <w:rFonts w:hint="eastAsia" w:ascii="宋体" w:hAnsi="宋体" w:eastAsia="宋体" w:cs="宋体"/>
          <w:kern w:val="0"/>
          <w:sz w:val="24"/>
          <w:szCs w:val="24"/>
          <w:highlight w:val="yellow"/>
          <w:lang w:val="en-US" w:eastAsia="zh-CN" w:bidi="ar"/>
        </w:rPr>
        <w:t>。</w:t>
      </w:r>
    </w:p>
    <w:p w14:paraId="1CD81A33">
      <w:pPr>
        <w:keepNext w:val="0"/>
        <w:keepLines w:val="0"/>
        <w:widowControl/>
        <w:numPr>
          <w:ilvl w:val="0"/>
          <w:numId w:val="0"/>
        </w:numPr>
        <w:suppressLineNumbers w:val="0"/>
        <w:jc w:val="left"/>
        <w:rPr>
          <w:rFonts w:hint="eastAsia" w:ascii="宋体" w:hAnsi="宋体" w:eastAsia="宋体" w:cs="宋体"/>
          <w:kern w:val="0"/>
          <w:sz w:val="24"/>
          <w:szCs w:val="24"/>
          <w:highlight w:val="yellow"/>
          <w:lang w:val="en-US" w:eastAsia="zh-CN" w:bidi="ar"/>
        </w:rPr>
      </w:pPr>
      <w:r>
        <w:rPr>
          <w:rFonts w:hint="eastAsia" w:ascii="宋体" w:hAnsi="宋体" w:eastAsia="宋体" w:cs="宋体"/>
          <w:kern w:val="0"/>
          <w:sz w:val="24"/>
          <w:szCs w:val="24"/>
          <w:highlight w:val="yellow"/>
          <w:lang w:val="en-US" w:eastAsia="zh-CN" w:bidi="ar"/>
        </w:rPr>
        <w:t>4.每个月发布前均须对电价配置进行检查和维护！</w:t>
      </w:r>
    </w:p>
    <w:p w14:paraId="0C423FFA">
      <w:pPr>
        <w:keepNext w:val="0"/>
        <w:keepLines w:val="0"/>
        <w:widowControl/>
        <w:numPr>
          <w:ilvl w:val="0"/>
          <w:numId w:val="0"/>
        </w:numPr>
        <w:suppressLineNumbers w:val="0"/>
        <w:jc w:val="left"/>
        <w:rPr>
          <w:rFonts w:hint="default" w:ascii="宋体" w:hAnsi="宋体" w:eastAsia="宋体" w:cs="宋体"/>
          <w:kern w:val="0"/>
          <w:sz w:val="24"/>
          <w:szCs w:val="24"/>
          <w:highlight w:val="yellow"/>
          <w:lang w:val="en-US" w:eastAsia="zh-CN" w:bidi="ar"/>
        </w:rPr>
      </w:pPr>
    </w:p>
    <w:p w14:paraId="0F3638DB">
      <w:pPr>
        <w:pStyle w:val="2"/>
        <w:keepNext w:val="0"/>
        <w:keepLines w:val="0"/>
        <w:widowControl/>
        <w:suppressLineNumbers w:val="0"/>
      </w:pPr>
      <w:r>
        <w:t>二、运行环境</w:t>
      </w:r>
    </w:p>
    <w:p w14:paraId="13DEDDD6">
      <w:pPr>
        <w:keepNext w:val="0"/>
        <w:keepLines w:val="0"/>
        <w:widowControl/>
        <w:suppressLineNumbers w:val="0"/>
        <w:jc w:val="left"/>
      </w:pPr>
      <w:r>
        <w:rPr>
          <w:rFonts w:ascii="宋体" w:hAnsi="宋体" w:eastAsia="宋体" w:cs="宋体"/>
          <w:kern w:val="0"/>
          <w:sz w:val="24"/>
          <w:szCs w:val="24"/>
          <w:lang w:val="en-US" w:eastAsia="zh-CN" w:bidi="ar"/>
        </w:rPr>
        <w:t>太乙交易平台支持在 PC 端使用</w:t>
      </w:r>
    </w:p>
    <w:p w14:paraId="0FCA485E">
      <w:pPr>
        <w:pStyle w:val="2"/>
        <w:keepNext w:val="0"/>
        <w:keepLines w:val="0"/>
        <w:widowControl/>
        <w:suppressLineNumbers w:val="0"/>
      </w:pPr>
      <w:r>
        <w:t>三、使用方法</w:t>
      </w:r>
    </w:p>
    <w:p w14:paraId="7A5EE77C">
      <w:pPr>
        <w:keepNext w:val="0"/>
        <w:keepLines w:val="0"/>
        <w:widowControl/>
        <w:suppressLineNumbers w:val="0"/>
        <w:jc w:val="left"/>
      </w:pPr>
      <w:r>
        <w:rPr>
          <w:rFonts w:ascii="宋体" w:hAnsi="宋体" w:eastAsia="宋体" w:cs="宋体"/>
          <w:kern w:val="0"/>
          <w:sz w:val="24"/>
          <w:szCs w:val="24"/>
          <w:lang w:val="en-US" w:eastAsia="zh-CN" w:bidi="ar"/>
        </w:rPr>
        <w:t>公有云太乙交易平台使用管理员分发的账号登录即可；</w:t>
      </w:r>
    </w:p>
    <w:p w14:paraId="7090D68C">
      <w:pPr>
        <w:keepNext w:val="0"/>
        <w:keepLines w:val="0"/>
        <w:widowControl/>
        <w:suppressLineNumbers w:val="0"/>
        <w:jc w:val="left"/>
      </w:pPr>
      <w:r>
        <w:rPr>
          <w:rFonts w:ascii="宋体" w:hAnsi="宋体" w:eastAsia="宋体" w:cs="宋体"/>
          <w:kern w:val="0"/>
          <w:sz w:val="24"/>
          <w:szCs w:val="24"/>
          <w:lang w:val="en-US" w:eastAsia="zh-CN" w:bidi="ar"/>
        </w:rPr>
        <w:t>该平台也支持私有化部署，届时平台管理人员将与企业账号一同交付给企业。</w:t>
      </w:r>
    </w:p>
    <w:p w14:paraId="4B502EA8">
      <w:pPr>
        <w:keepNext w:val="0"/>
        <w:keepLines w:val="0"/>
        <w:widowControl/>
        <w:suppressLineNumbers w:val="0"/>
        <w:jc w:val="left"/>
        <w:rPr>
          <w:rFonts w:hint="default" w:ascii="宋体" w:hAnsi="宋体" w:eastAsia="宋体" w:cs="宋体"/>
          <w:kern w:val="0"/>
          <w:sz w:val="24"/>
          <w:szCs w:val="24"/>
          <w:lang w:val="en-US" w:eastAsia="zh-CN" w:bidi="ar"/>
        </w:rPr>
      </w:pPr>
    </w:p>
    <w:sectPr>
      <w:footerReference r:id="rId3" w:type="default"/>
      <w:pgSz w:w="11905" w:h="16840"/>
      <w:pgMar w:top="1440" w:right="1440" w:bottom="1440" w:left="1800" w:header="851" w:footer="992"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34E9B">
    <w:pPr>
      <w:pStyle w:val="8"/>
      <w:pBdr>
        <w:top w:val="single" w:color="CCCCCC" w:sz="4" w:space="4"/>
      </w:pBdr>
      <w:jc w:val="center"/>
    </w:pPr>
    <w:r>
      <w:rPr>
        <w:rFonts w:ascii="等线" w:hAnsi="等线" w:eastAsia="等线"/>
        <w:color w:val="808080"/>
        <w:sz w:val="18"/>
      </w:rPr>
      <w:t xml:space="preserve">- </w:t>
    </w:r>
    <w:r>
      <w:rPr>
        <w:rFonts w:ascii="等线" w:hAnsi="等线" w:eastAsia="等线"/>
        <w:color w:val="808080"/>
        <w:sz w:val="18"/>
      </w:rPr>
      <w:fldChar w:fldCharType="begin"/>
    </w:r>
    <w:r>
      <w:rPr>
        <w:rFonts w:ascii="等线" w:hAnsi="等线" w:eastAsia="等线"/>
        <w:color w:val="808080"/>
        <w:sz w:val="18"/>
      </w:rPr>
      <w:instrText xml:space="preserve"> PAGE </w:instrText>
    </w:r>
    <w:r>
      <w:rPr>
        <w:rFonts w:ascii="等线" w:hAnsi="等线" w:eastAsia="等线"/>
        <w:color w:val="808080"/>
        <w:sz w:val="18"/>
      </w:rPr>
      <w:fldChar w:fldCharType="separate"/>
    </w:r>
    <w:r>
      <w:rPr>
        <w:rFonts w:ascii="等线" w:hAnsi="等线" w:eastAsia="等线"/>
        <w:color w:val="808080"/>
        <w:sz w:val="18"/>
      </w:rPr>
      <w:t>1</w:t>
    </w:r>
    <w:r>
      <w:rPr>
        <w:rFonts w:ascii="等线" w:hAnsi="等线" w:eastAsia="等线"/>
        <w:color w:val="808080"/>
        <w:sz w:val="18"/>
      </w:rPr>
      <w:fldChar w:fldCharType="end"/>
    </w:r>
    <w:r>
      <w:rPr>
        <w:rFonts w:ascii="等线" w:hAnsi="等线" w:eastAsia="等线"/>
        <w:color w:val="808080"/>
        <w:sz w:val="1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CD10B7"/>
    <w:multiLevelType w:val="singleLevel"/>
    <w:tmpl w:val="C9CD10B7"/>
    <w:lvl w:ilvl="0" w:tentative="0">
      <w:start w:val="1"/>
      <w:numFmt w:val="decimal"/>
      <w:suff w:val="nothing"/>
      <w:lvlText w:val="（%1）"/>
      <w:lvlJc w:val="left"/>
    </w:lvl>
  </w:abstractNum>
  <w:abstractNum w:abstractNumId="1">
    <w:nsid w:val="D1318D61"/>
    <w:multiLevelType w:val="singleLevel"/>
    <w:tmpl w:val="D1318D61"/>
    <w:lvl w:ilvl="0" w:tentative="0">
      <w:start w:val="2"/>
      <w:numFmt w:val="decimal"/>
      <w:suff w:val="nothing"/>
      <w:lvlText w:val="（%1）"/>
      <w:lvlJc w:val="left"/>
    </w:lvl>
  </w:abstractNum>
  <w:abstractNum w:abstractNumId="2">
    <w:nsid w:val="F65BA893"/>
    <w:multiLevelType w:val="singleLevel"/>
    <w:tmpl w:val="F65BA893"/>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YWFmMjk2NGQwZDUzY2M0ODZhMDUwNTU1MWU0ZTQ3NzkifQ=="/>
  </w:docVars>
  <w:rsids>
    <w:rsidRoot w:val="00000000"/>
    <w:rsid w:val="007555BE"/>
    <w:rsid w:val="00D32A2B"/>
    <w:rsid w:val="01C62DC8"/>
    <w:rsid w:val="03BD5AE4"/>
    <w:rsid w:val="04CB5FDF"/>
    <w:rsid w:val="04FC007E"/>
    <w:rsid w:val="05002963"/>
    <w:rsid w:val="06446E85"/>
    <w:rsid w:val="064C314F"/>
    <w:rsid w:val="07AC62EB"/>
    <w:rsid w:val="07CD0AF2"/>
    <w:rsid w:val="084D6628"/>
    <w:rsid w:val="08894FEC"/>
    <w:rsid w:val="09292D87"/>
    <w:rsid w:val="09B063AC"/>
    <w:rsid w:val="09CF30C0"/>
    <w:rsid w:val="0A250559"/>
    <w:rsid w:val="0A2741DD"/>
    <w:rsid w:val="0AAD7AD2"/>
    <w:rsid w:val="0BF74193"/>
    <w:rsid w:val="0C6D1703"/>
    <w:rsid w:val="0FAD4285"/>
    <w:rsid w:val="10F56125"/>
    <w:rsid w:val="133574DA"/>
    <w:rsid w:val="144A24F5"/>
    <w:rsid w:val="14B72441"/>
    <w:rsid w:val="14D574F7"/>
    <w:rsid w:val="154F0FEC"/>
    <w:rsid w:val="15B7D5D6"/>
    <w:rsid w:val="163B6FFF"/>
    <w:rsid w:val="179C4E18"/>
    <w:rsid w:val="18163E64"/>
    <w:rsid w:val="18246097"/>
    <w:rsid w:val="18797B5E"/>
    <w:rsid w:val="1A65346A"/>
    <w:rsid w:val="1BAF6908"/>
    <w:rsid w:val="1C2C4D3E"/>
    <w:rsid w:val="1D3F1AA6"/>
    <w:rsid w:val="1F3F27BB"/>
    <w:rsid w:val="1F4017F8"/>
    <w:rsid w:val="1F4060E9"/>
    <w:rsid w:val="1F78738A"/>
    <w:rsid w:val="200E590D"/>
    <w:rsid w:val="21934B84"/>
    <w:rsid w:val="22B76495"/>
    <w:rsid w:val="22BB4296"/>
    <w:rsid w:val="22E457FB"/>
    <w:rsid w:val="23137077"/>
    <w:rsid w:val="250B1C22"/>
    <w:rsid w:val="26AB1BA2"/>
    <w:rsid w:val="26E5D367"/>
    <w:rsid w:val="270D12D6"/>
    <w:rsid w:val="271F3B91"/>
    <w:rsid w:val="28324B6A"/>
    <w:rsid w:val="28383571"/>
    <w:rsid w:val="28923305"/>
    <w:rsid w:val="297B6502"/>
    <w:rsid w:val="2AD7BE2E"/>
    <w:rsid w:val="2B2D3811"/>
    <w:rsid w:val="2B4E5F3E"/>
    <w:rsid w:val="2E190967"/>
    <w:rsid w:val="2E9D030D"/>
    <w:rsid w:val="2EEC4D8F"/>
    <w:rsid w:val="2F2F7951"/>
    <w:rsid w:val="305B205D"/>
    <w:rsid w:val="30F878AC"/>
    <w:rsid w:val="312A57B3"/>
    <w:rsid w:val="31360D41"/>
    <w:rsid w:val="313E6C6F"/>
    <w:rsid w:val="31986C36"/>
    <w:rsid w:val="31A705A9"/>
    <w:rsid w:val="32817C96"/>
    <w:rsid w:val="32FD6CA5"/>
    <w:rsid w:val="33843679"/>
    <w:rsid w:val="33B85935"/>
    <w:rsid w:val="34160B26"/>
    <w:rsid w:val="34367106"/>
    <w:rsid w:val="34CD58EC"/>
    <w:rsid w:val="357E4B81"/>
    <w:rsid w:val="35DD986E"/>
    <w:rsid w:val="36B77CE8"/>
    <w:rsid w:val="36EBD6F2"/>
    <w:rsid w:val="37645C9B"/>
    <w:rsid w:val="376E2676"/>
    <w:rsid w:val="37900768"/>
    <w:rsid w:val="38FA0C46"/>
    <w:rsid w:val="39221266"/>
    <w:rsid w:val="393F251C"/>
    <w:rsid w:val="39CC3F13"/>
    <w:rsid w:val="39CF0E3F"/>
    <w:rsid w:val="3A3951BD"/>
    <w:rsid w:val="3B1E5157"/>
    <w:rsid w:val="3B634927"/>
    <w:rsid w:val="3B9B7FE9"/>
    <w:rsid w:val="3B9E0C48"/>
    <w:rsid w:val="3BF07AFD"/>
    <w:rsid w:val="3BFB96F1"/>
    <w:rsid w:val="3C9C7A3D"/>
    <w:rsid w:val="3D6B01E6"/>
    <w:rsid w:val="3D82629A"/>
    <w:rsid w:val="3EE10FF2"/>
    <w:rsid w:val="3EFD01E1"/>
    <w:rsid w:val="3F7756D9"/>
    <w:rsid w:val="3FF3C693"/>
    <w:rsid w:val="3FF9790F"/>
    <w:rsid w:val="40A2217C"/>
    <w:rsid w:val="40C043A3"/>
    <w:rsid w:val="414F4594"/>
    <w:rsid w:val="415D312C"/>
    <w:rsid w:val="4197410F"/>
    <w:rsid w:val="42957E13"/>
    <w:rsid w:val="43FB558C"/>
    <w:rsid w:val="442E13C5"/>
    <w:rsid w:val="4494227D"/>
    <w:rsid w:val="44CC07F6"/>
    <w:rsid w:val="45252F0E"/>
    <w:rsid w:val="45C16F17"/>
    <w:rsid w:val="47346230"/>
    <w:rsid w:val="47AE33F3"/>
    <w:rsid w:val="47AF3B20"/>
    <w:rsid w:val="485F60A2"/>
    <w:rsid w:val="489A63C4"/>
    <w:rsid w:val="492B6235"/>
    <w:rsid w:val="49B851A0"/>
    <w:rsid w:val="4A9F3DA9"/>
    <w:rsid w:val="4BB5BDE7"/>
    <w:rsid w:val="4C407515"/>
    <w:rsid w:val="4C813780"/>
    <w:rsid w:val="4CC065C4"/>
    <w:rsid w:val="4CF117AC"/>
    <w:rsid w:val="4D1C4E2E"/>
    <w:rsid w:val="4D3307F0"/>
    <w:rsid w:val="4D9D385D"/>
    <w:rsid w:val="4E926C43"/>
    <w:rsid w:val="4ED316CA"/>
    <w:rsid w:val="4EFA00B2"/>
    <w:rsid w:val="4FBF41C2"/>
    <w:rsid w:val="508D6532"/>
    <w:rsid w:val="51112C18"/>
    <w:rsid w:val="51F04E21"/>
    <w:rsid w:val="52490034"/>
    <w:rsid w:val="52970B02"/>
    <w:rsid w:val="5357795B"/>
    <w:rsid w:val="537BCD8E"/>
    <w:rsid w:val="542D2E97"/>
    <w:rsid w:val="54436C12"/>
    <w:rsid w:val="5493001C"/>
    <w:rsid w:val="54B605FA"/>
    <w:rsid w:val="54E630E9"/>
    <w:rsid w:val="561D7134"/>
    <w:rsid w:val="56BD4B62"/>
    <w:rsid w:val="56E301F4"/>
    <w:rsid w:val="56E94DB9"/>
    <w:rsid w:val="57E31DC8"/>
    <w:rsid w:val="5A7FBF88"/>
    <w:rsid w:val="5AC563D3"/>
    <w:rsid w:val="5ADFF16B"/>
    <w:rsid w:val="5B240C50"/>
    <w:rsid w:val="5D2E66A6"/>
    <w:rsid w:val="5D6713E5"/>
    <w:rsid w:val="5DB87C5E"/>
    <w:rsid w:val="5E115DE0"/>
    <w:rsid w:val="5E533074"/>
    <w:rsid w:val="5E980291"/>
    <w:rsid w:val="5EC30338"/>
    <w:rsid w:val="5EF6D3DB"/>
    <w:rsid w:val="5F427DC1"/>
    <w:rsid w:val="5F7F01AF"/>
    <w:rsid w:val="5F85135A"/>
    <w:rsid w:val="5FDF25DF"/>
    <w:rsid w:val="603F73E3"/>
    <w:rsid w:val="6109328C"/>
    <w:rsid w:val="61173488"/>
    <w:rsid w:val="616A3774"/>
    <w:rsid w:val="616D7CD4"/>
    <w:rsid w:val="63814D13"/>
    <w:rsid w:val="639B172E"/>
    <w:rsid w:val="64E17A9F"/>
    <w:rsid w:val="652B396C"/>
    <w:rsid w:val="654E37B5"/>
    <w:rsid w:val="658B72E8"/>
    <w:rsid w:val="661913A3"/>
    <w:rsid w:val="662A20DC"/>
    <w:rsid w:val="67304223"/>
    <w:rsid w:val="67EF71F2"/>
    <w:rsid w:val="67FB2416"/>
    <w:rsid w:val="67FF05C6"/>
    <w:rsid w:val="683D585C"/>
    <w:rsid w:val="6BB3115D"/>
    <w:rsid w:val="6BDFC3E4"/>
    <w:rsid w:val="6BEA3BD9"/>
    <w:rsid w:val="6D6E289E"/>
    <w:rsid w:val="6D79635B"/>
    <w:rsid w:val="6DB70FA5"/>
    <w:rsid w:val="6DDE7073"/>
    <w:rsid w:val="6E384EFD"/>
    <w:rsid w:val="6EBA266B"/>
    <w:rsid w:val="6F036F31"/>
    <w:rsid w:val="701810F4"/>
    <w:rsid w:val="7088404F"/>
    <w:rsid w:val="70BA3C5B"/>
    <w:rsid w:val="70C40F7D"/>
    <w:rsid w:val="70C47DA4"/>
    <w:rsid w:val="71691D72"/>
    <w:rsid w:val="7192695B"/>
    <w:rsid w:val="719DA0BF"/>
    <w:rsid w:val="71BF24E0"/>
    <w:rsid w:val="732E2510"/>
    <w:rsid w:val="737D3067"/>
    <w:rsid w:val="73FF764E"/>
    <w:rsid w:val="746F6D4F"/>
    <w:rsid w:val="74EF16D9"/>
    <w:rsid w:val="74F6388D"/>
    <w:rsid w:val="756E6420"/>
    <w:rsid w:val="75E556A7"/>
    <w:rsid w:val="75F37D6E"/>
    <w:rsid w:val="75FEA72B"/>
    <w:rsid w:val="75FF9B0D"/>
    <w:rsid w:val="76B46F49"/>
    <w:rsid w:val="76CC0092"/>
    <w:rsid w:val="76DF3F18"/>
    <w:rsid w:val="76FC2A0E"/>
    <w:rsid w:val="771F85C1"/>
    <w:rsid w:val="776D6506"/>
    <w:rsid w:val="778F3E8E"/>
    <w:rsid w:val="77B703D1"/>
    <w:rsid w:val="77EF3EE1"/>
    <w:rsid w:val="77EF8C4C"/>
    <w:rsid w:val="78F8666D"/>
    <w:rsid w:val="796EB77B"/>
    <w:rsid w:val="7A3109B6"/>
    <w:rsid w:val="7A586721"/>
    <w:rsid w:val="7AA22454"/>
    <w:rsid w:val="7AA32644"/>
    <w:rsid w:val="7AD739F1"/>
    <w:rsid w:val="7AFF08A9"/>
    <w:rsid w:val="7B1FE42D"/>
    <w:rsid w:val="7B9201A3"/>
    <w:rsid w:val="7BBACBA3"/>
    <w:rsid w:val="7BBF4F8C"/>
    <w:rsid w:val="7BEB4E26"/>
    <w:rsid w:val="7BF27783"/>
    <w:rsid w:val="7BFA0A0D"/>
    <w:rsid w:val="7BFD0C50"/>
    <w:rsid w:val="7C7E2532"/>
    <w:rsid w:val="7CB07D1C"/>
    <w:rsid w:val="7D5F5BC5"/>
    <w:rsid w:val="7D6EA0BB"/>
    <w:rsid w:val="7D771439"/>
    <w:rsid w:val="7D7727C3"/>
    <w:rsid w:val="7D7F9E6E"/>
    <w:rsid w:val="7D9E5E73"/>
    <w:rsid w:val="7DAA5057"/>
    <w:rsid w:val="7DBFA476"/>
    <w:rsid w:val="7DDF043C"/>
    <w:rsid w:val="7E4F2EA2"/>
    <w:rsid w:val="7E8FF079"/>
    <w:rsid w:val="7ED57396"/>
    <w:rsid w:val="7EE7E8CC"/>
    <w:rsid w:val="7EFFE78C"/>
    <w:rsid w:val="7F4E11EE"/>
    <w:rsid w:val="7F547735"/>
    <w:rsid w:val="7F5CC113"/>
    <w:rsid w:val="7F5F17C5"/>
    <w:rsid w:val="7F9B7B8B"/>
    <w:rsid w:val="7FCFE629"/>
    <w:rsid w:val="7FD5B16D"/>
    <w:rsid w:val="7FDF4632"/>
    <w:rsid w:val="7FEF396F"/>
    <w:rsid w:val="7FEF85F1"/>
    <w:rsid w:val="7FF7C770"/>
    <w:rsid w:val="7FFB235C"/>
    <w:rsid w:val="7FFC1841"/>
    <w:rsid w:val="7FFFC7D5"/>
    <w:rsid w:val="7FFFDEF0"/>
    <w:rsid w:val="8BFF7195"/>
    <w:rsid w:val="9ABF4CF4"/>
    <w:rsid w:val="9CBD1D15"/>
    <w:rsid w:val="9DACE687"/>
    <w:rsid w:val="9DAF755E"/>
    <w:rsid w:val="9FBFC413"/>
    <w:rsid w:val="AFD4E3C9"/>
    <w:rsid w:val="B479B971"/>
    <w:rsid w:val="B4FF9E80"/>
    <w:rsid w:val="B77BC2A3"/>
    <w:rsid w:val="B7EC1E33"/>
    <w:rsid w:val="BBD8BD13"/>
    <w:rsid w:val="BBEF308E"/>
    <w:rsid w:val="BBF6811E"/>
    <w:rsid w:val="BD73CC5B"/>
    <w:rsid w:val="BDCF2255"/>
    <w:rsid w:val="BDFA2CC0"/>
    <w:rsid w:val="BEB95CA9"/>
    <w:rsid w:val="BF294C3C"/>
    <w:rsid w:val="BF5F5AF0"/>
    <w:rsid w:val="BFA976D3"/>
    <w:rsid w:val="BFB615FC"/>
    <w:rsid w:val="BFBAB1C5"/>
    <w:rsid w:val="BFF37259"/>
    <w:rsid w:val="C3FC18E5"/>
    <w:rsid w:val="C9768824"/>
    <w:rsid w:val="CF7F2198"/>
    <w:rsid w:val="CFF7E01B"/>
    <w:rsid w:val="D7B65BBB"/>
    <w:rsid w:val="D7FD235F"/>
    <w:rsid w:val="DAD9B711"/>
    <w:rsid w:val="DBBBA26E"/>
    <w:rsid w:val="DBCE12A1"/>
    <w:rsid w:val="DC58F779"/>
    <w:rsid w:val="DCCFD4D8"/>
    <w:rsid w:val="DEFBA08E"/>
    <w:rsid w:val="DEFCD575"/>
    <w:rsid w:val="DF7F4EBF"/>
    <w:rsid w:val="DFBA9A2E"/>
    <w:rsid w:val="DFBDF8A6"/>
    <w:rsid w:val="DFBE5A8F"/>
    <w:rsid w:val="DFDFE5FD"/>
    <w:rsid w:val="DFE7CC97"/>
    <w:rsid w:val="E6FFADE5"/>
    <w:rsid w:val="E73FAC6F"/>
    <w:rsid w:val="E77EB6FA"/>
    <w:rsid w:val="E7EFB9AD"/>
    <w:rsid w:val="EBD9E437"/>
    <w:rsid w:val="EBF6135A"/>
    <w:rsid w:val="ECDD3765"/>
    <w:rsid w:val="EF7998F8"/>
    <w:rsid w:val="EFF3DB67"/>
    <w:rsid w:val="EFF71ECE"/>
    <w:rsid w:val="EFFEAD7E"/>
    <w:rsid w:val="F3E95741"/>
    <w:rsid w:val="F5FA2059"/>
    <w:rsid w:val="F6FE7144"/>
    <w:rsid w:val="F73F6D7B"/>
    <w:rsid w:val="F77F0719"/>
    <w:rsid w:val="F7F7371E"/>
    <w:rsid w:val="F7FF48EA"/>
    <w:rsid w:val="F97FF6F9"/>
    <w:rsid w:val="F9FF087C"/>
    <w:rsid w:val="FBDB212E"/>
    <w:rsid w:val="FBFF87F3"/>
    <w:rsid w:val="FD6FBEB6"/>
    <w:rsid w:val="FD7FA9B5"/>
    <w:rsid w:val="FD9EEFB4"/>
    <w:rsid w:val="FDF989B6"/>
    <w:rsid w:val="FDFFDEB1"/>
    <w:rsid w:val="FEEC1564"/>
    <w:rsid w:val="FEF76E57"/>
    <w:rsid w:val="FF577DA1"/>
    <w:rsid w:val="FF5EA920"/>
    <w:rsid w:val="FF7F61DD"/>
    <w:rsid w:val="FFBCDC47"/>
    <w:rsid w:val="FFE9B89B"/>
    <w:rsid w:val="FFF2AC65"/>
    <w:rsid w:val="FFFDAE5F"/>
    <w:rsid w:val="FFFF512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spacing w:before="320" w:after="120" w:line="288" w:lineRule="auto"/>
      <w:jc w:val="left"/>
      <w:outlineLvl w:val="0"/>
    </w:pPr>
    <w:rPr>
      <w:rFonts w:ascii="Arial" w:hAnsi="Arial" w:eastAsia="等线" w:cs="Arial"/>
      <w:b/>
      <w:kern w:val="0"/>
      <w:sz w:val="36"/>
      <w:szCs w:val="36"/>
    </w:rPr>
  </w:style>
  <w:style w:type="paragraph" w:styleId="3">
    <w:name w:val="heading 2"/>
    <w:basedOn w:val="1"/>
    <w:next w:val="1"/>
    <w:semiHidden/>
    <w:unhideWhenUsed/>
    <w:qFormat/>
    <w:uiPriority w:val="9"/>
    <w:pPr>
      <w:spacing w:before="300" w:beforeAutospacing="1" w:after="120" w:afterAutospacing="1"/>
      <w:jc w:val="left"/>
      <w:outlineLvl w:val="1"/>
    </w:pPr>
    <w:rPr>
      <w:rFonts w:hint="eastAsia" w:ascii="Arial" w:hAnsi="Arial" w:eastAsia="等线" w:cs="宋体"/>
      <w:b/>
      <w:bCs/>
      <w:kern w:val="0"/>
      <w:sz w:val="36"/>
      <w:szCs w:val="36"/>
      <w:lang w:val="en-US" w:eastAsia="zh-CN" w:bidi="ar"/>
    </w:rPr>
  </w:style>
  <w:style w:type="paragraph" w:styleId="4">
    <w:name w:val="heading 3"/>
    <w:basedOn w:val="1"/>
    <w:next w:val="1"/>
    <w:semiHidden/>
    <w:unhideWhenUsed/>
    <w:qFormat/>
    <w:uiPriority w:val="9"/>
    <w:pPr>
      <w:spacing w:before="240" w:beforeAutospacing="1" w:after="80" w:afterAutospacing="1"/>
      <w:jc w:val="left"/>
      <w:outlineLvl w:val="2"/>
    </w:pPr>
    <w:rPr>
      <w:rFonts w:hint="eastAsia" w:ascii="Arial" w:hAnsi="Arial" w:eastAsia="等线"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unhideWhenUsed/>
    <w:qFormat/>
    <w:uiPriority w:val="1"/>
    <w:rPr>
      <w:rFonts w:ascii="Times New Roman" w:hAnsi="Times New Roman" w:eastAsia="宋体" w:cstheme="minorBidi"/>
    </w:rPr>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3"/>
    <w:basedOn w:val="1"/>
    <w:next w:val="1"/>
    <w:semiHidden/>
    <w:unhideWhenUsed/>
    <w:qFormat/>
    <w:uiPriority w:val="39"/>
    <w:pPr>
      <w:ind w:left="840" w:leftChars="400"/>
    </w:pPr>
  </w:style>
  <w:style w:type="paragraph" w:styleId="8">
    <w:name w:val="footer"/>
    <w:basedOn w:val="1"/>
    <w:semiHidden/>
    <w:unhideWhenUsed/>
    <w:qFormat/>
    <w:uiPriority w:val="99"/>
    <w:pPr>
      <w:tabs>
        <w:tab w:val="center" w:pos="4153"/>
        <w:tab w:val="right" w:pos="8306"/>
      </w:tabs>
      <w:snapToGrid w:val="0"/>
      <w:jc w:val="left"/>
    </w:pPr>
    <w:rPr>
      <w:sz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right" w:leader="dot" w:pos="9072"/>
      </w:tabs>
      <w:snapToGrid w:val="0"/>
      <w:spacing w:before="60" w:after="60" w:line="240" w:lineRule="auto"/>
      <w:jc w:val="both"/>
      <w:outlineLvl w:val="9"/>
    </w:pPr>
    <w:rPr>
      <w:sz w:val="18"/>
    </w:rPr>
  </w:style>
  <w:style w:type="paragraph" w:styleId="10">
    <w:name w:val="toc 1"/>
    <w:basedOn w:val="1"/>
    <w:next w:val="1"/>
    <w:semiHidden/>
    <w:unhideWhenUsed/>
    <w:qFormat/>
    <w:uiPriority w:val="39"/>
    <w:pPr>
      <w:tabs>
        <w:tab w:val="right" w:leader="dot" w:pos="9072"/>
      </w:tabs>
      <w:spacing w:before="40" w:after="40"/>
      <w:ind w:left="420"/>
    </w:pPr>
  </w:style>
  <w:style w:type="paragraph" w:styleId="11">
    <w:name w:val="toc 2"/>
    <w:basedOn w:val="1"/>
    <w:next w:val="1"/>
    <w:unhideWhenUsed/>
    <w:qFormat/>
    <w:uiPriority w:val="39"/>
    <w:pPr>
      <w:ind w:left="420" w:leftChars="200"/>
    </w:p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6">
    <w:name w:val="Strong"/>
    <w:basedOn w:val="15"/>
    <w:qFormat/>
    <w:uiPriority w:val="22"/>
    <w:rPr>
      <w:b/>
    </w:rPr>
  </w:style>
  <w:style w:type="character" w:styleId="17">
    <w:name w:val="HTML Code"/>
    <w:basedOn w:val="15"/>
    <w:semiHidden/>
    <w:unhideWhenUsed/>
    <w:qFormat/>
    <w:uiPriority w:val="99"/>
    <w:rPr>
      <w:rFonts w:ascii="Courier New" w:hAnsi="Courier New"/>
      <w:sz w:val="20"/>
    </w:rPr>
  </w:style>
  <w:style w:type="paragraph" w:customStyle="1" w:styleId="18">
    <w:name w:val="分类号"/>
    <w:basedOn w:val="1"/>
    <w:qFormat/>
    <w:uiPriority w:val="0"/>
    <w:rPr>
      <w:rFonts w:ascii="仿宋_GB2312" w:hAnsi="Times New Roman" w:eastAsia="仿宋_GB2312" w:cs="Times New Roman"/>
      <w:kern w:val="2"/>
      <w:sz w:val="28"/>
      <w:szCs w:val="28"/>
      <w:lang w:val="en-US" w:eastAsia="zh-CN" w:bidi="ar-SA"/>
    </w:rPr>
  </w:style>
  <w:style w:type="paragraph" w:customStyle="1" w:styleId="19">
    <w:name w:val="封面日期"/>
    <w:basedOn w:val="1"/>
    <w:qFormat/>
    <w:uiPriority w:val="0"/>
    <w:pPr>
      <w:jc w:val="center"/>
    </w:pPr>
    <w:rPr>
      <w:rFonts w:ascii="黑体" w:hAnsi="Times New Roman" w:eastAsia="黑体" w:cs="Times New Roman"/>
      <w:kern w:val="2"/>
      <w:sz w:val="32"/>
      <w:szCs w:val="32"/>
      <w:lang w:val="en-US" w:eastAsia="zh-CN" w:bidi="ar-SA"/>
    </w:rPr>
  </w:style>
  <w:style w:type="paragraph" w:customStyle="1" w:styleId="20">
    <w:name w:val="论文标题"/>
    <w:basedOn w:val="1"/>
    <w:qFormat/>
    <w:uiPriority w:val="0"/>
    <w:pPr>
      <w:jc w:val="center"/>
    </w:pPr>
    <w:rPr>
      <w:rFonts w:ascii="Times New Roman" w:hAnsi="Times New Roman" w:eastAsia="楷体_GB2312" w:cs="Times New Roman"/>
      <w:b/>
      <w:kern w:val="36"/>
      <w:sz w:val="52"/>
      <w:szCs w:val="52"/>
      <w:lang w:val="en-US" w:eastAsia="zh-CN" w:bidi="ar-SA"/>
    </w:rPr>
  </w:style>
  <w:style w:type="paragraph" w:customStyle="1" w:styleId="21">
    <w:name w:val="硕士学位论文"/>
    <w:basedOn w:val="1"/>
    <w:qFormat/>
    <w:uiPriority w:val="0"/>
    <w:pPr>
      <w:spacing w:before="240"/>
      <w:jc w:val="center"/>
    </w:pPr>
    <w:rPr>
      <w:rFonts w:ascii="Times New Roman" w:hAnsi="Times New Roman" w:eastAsia="宋体" w:cs="Times New Roman"/>
      <w:kern w:val="2"/>
      <w:sz w:val="44"/>
      <w:szCs w:val="44"/>
      <w:lang w:val="en-US" w:eastAsia="zh-CN" w:bidi="ar-SA"/>
    </w:rPr>
  </w:style>
  <w:style w:type="paragraph" w:customStyle="1" w:styleId="22">
    <w:name w:val="研究生姓名"/>
    <w:basedOn w:val="1"/>
    <w:qFormat/>
    <w:uiPriority w:val="0"/>
    <w:pPr>
      <w:ind w:firstLine="700" w:firstLineChars="700"/>
    </w:pPr>
    <w:rPr>
      <w:rFonts w:ascii="Times New Roman" w:hAnsi="Times New Roman" w:eastAsia="宋体" w:cs="Times New Roman"/>
      <w:kern w:val="2"/>
      <w:sz w:val="28"/>
      <w:szCs w:val="28"/>
      <w:lang w:val="en-US" w:eastAsia="zh-CN" w:bidi="ar-SA"/>
    </w:rPr>
  </w:style>
  <w:style w:type="paragraph" w:customStyle="1" w:styleId="23">
    <w:name w:val="WPSOffice手动目录 1"/>
    <w:qFormat/>
    <w:uiPriority w:val="0"/>
    <w:pPr>
      <w:ind w:leftChars="0"/>
    </w:pPr>
    <w:rPr>
      <w:rFonts w:asciiTheme="minorHAnsi" w:hAnsiTheme="minorHAnsi" w:eastAsiaTheme="minorEastAsia" w:cstheme="minorBidi"/>
      <w:sz w:val="20"/>
      <w:szCs w:val="20"/>
    </w:rPr>
  </w:style>
  <w:style w:type="paragraph" w:customStyle="1" w:styleId="24">
    <w:name w:val="WPSOffice手动目录 2"/>
    <w:qFormat/>
    <w:uiPriority w:val="0"/>
    <w:pPr>
      <w:ind w:leftChars="200"/>
    </w:pPr>
    <w:rPr>
      <w:rFonts w:asciiTheme="minorHAnsi" w:hAnsiTheme="minorHAnsi" w:eastAsiaTheme="minorEastAsia" w:cstheme="minorBidi"/>
      <w:sz w:val="20"/>
      <w:szCs w:val="20"/>
    </w:rPr>
  </w:style>
  <w:style w:type="paragraph" w:customStyle="1" w:styleId="25">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3" Type="http://schemas.openxmlformats.org/officeDocument/2006/relationships/fontTable" Target="fontTable.xml"/><Relationship Id="rId122" Type="http://schemas.openxmlformats.org/officeDocument/2006/relationships/numbering" Target="numbering.xml"/><Relationship Id="rId121" Type="http://schemas.openxmlformats.org/officeDocument/2006/relationships/customXml" Target="../customXml/item1.xml"/><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Pages>
  <Words>15581</Words>
  <Characters>16128</Characters>
  <Lines>1</Lines>
  <Paragraphs>1</Paragraphs>
  <TotalTime>17</TotalTime>
  <ScaleCrop>false</ScaleCrop>
  <LinksUpToDate>false</LinksUpToDate>
  <CharactersWithSpaces>16554</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2025-08-26T06:57:00Z</dcterms:created>
  <dc:creator>Apache POI</dc:creator>
  <cp:lastModifiedBy>樾努ㄌ樾啈運</cp:lastModifiedBy>
  <dcterms:modified xsi:type="dcterms:W3CDTF">2026-08-14T04:18:16Z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eyJoZGlkIjoiNTk3Mzc5ZTMzZWU5NzhmNzU0NzczNmNjNTM3ZWQ0NmEiLCJ1c2VySWQiOiIxMTQ3MzQ2NTg0In0=</vt:lpwstr>
  </property>
  <property fmtid="{D5CDD505-2E9C-101B-9397-08002B2CF9AE}" pid="3" name="KSOProductBuildVer">
    <vt:lpwstr>2052-12.1.0.17133</vt:lpwstr>
  </property>
  <property fmtid="{D5CDD505-2E9C-101B-9397-08002B2CF9AE}" pid="4" name="ICV">
    <vt:lpwstr>07A21D3551F2DA7F486E256A9598E260_43</vt:lpwstr>
  </property>
</Properties>
</file>