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软雅黑" w:hAnsi="微软雅黑" w:eastAsia="微软雅黑"/>
          <w:color w:val="1F3A5F"/>
          <w:sz w:val="40"/>
        </w:rPr>
        <w:t>科室质量控制数据报表</w:t>
      </w:r>
    </w:p>
    <w:p>
      <w:pPr>
        <w:jc w:val="center"/>
      </w:pPr>
      <w:r>
        <w:rPr>
          <w:rFonts w:ascii="微软雅黑" w:hAnsi="微软雅黑" w:eastAsia="微软雅黑"/>
          <w:b/>
          <w:color w:val="1F3A5F"/>
          <w:sz w:val="28"/>
        </w:rPr>
        <w:t>神经外科（2026年7月）</w:t>
      </w:r>
    </w:p>
    <w:p>
      <w:pPr>
        <w:jc w:val="center"/>
      </w:pPr>
      <w:r>
        <w:rPr>
          <w:rFonts w:ascii="微软雅黑" w:hAnsi="微软雅黑" w:eastAsia="微软雅黑"/>
          <w:color w:val="666666"/>
          <w:sz w:val="16"/>
        </w:rPr>
        <w:t>说明：评级按全院核心临床科室排名分四档，A（前25%，绿）、B（25%-50%，蓝）、C（50%-75%，橙）、D（后25%，红）；DDDs、医疗不良事件上报数为达标/不达标。</w:t>
      </w:r>
    </w:p>
    <w:tbl>
      <w:tblPr>
        <w:jc w:val="center"/>
        <w:tblLook w:firstColumn="1" w:firstRow="1" w:lastColumn="0" w:lastRow="0" w:noHBand="0" w:noVBand="1" w:val="04A0"/>
        <w:tblW w:w="120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400"/>
        <w:gridCol w:w="3400"/>
        <w:gridCol w:w="3400"/>
      </w:tblGrid>
      <w:tr>
        <w:tc>
          <w:tcPr>
            <w:shd w:fill="1F3A5F" w:val="clear"/>
            <w:tcW w:w="50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指标名称</w:t>
            </w:r>
          </w:p>
        </w:tc>
        <w:tc>
          <w:tcPr>
            <w:shd w:fill="1F3A5F" w:val="clear"/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数值</w:t>
            </w:r>
          </w:p>
        </w:tc>
        <w:tc>
          <w:tcPr>
            <w:shd w:fill="1F3A5F" w:val="clear"/>
            <w:tcW w:w="1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评级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出院人次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108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门（急）诊人次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497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医疗服务收入占比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15.36%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门诊次均费用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317.80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门诊次均药品费用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64.52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1F75FE"/>
                <w:sz w:val="18"/>
              </w:rPr>
              <w:t>B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住院次均费用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93562.75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住院患者均次药品费用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15658.41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CMI值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7.43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平均住院日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21.11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床位使用率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104.47%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1F75FE"/>
                <w:sz w:val="18"/>
              </w:rPr>
              <w:t>B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出院患者手术占比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62.96%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1F75FE"/>
                <w:sz w:val="18"/>
              </w:rPr>
              <w:t>B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出院患者四级手术占比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51.47%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出院患者微创手术占比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0.00%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疑难病例讨论数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2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死亡例数（住院）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</w:t>
            </w:r>
          </w:p>
        </w:tc>
        <w:tc>
          <w:tcPr>
            <w:tcW w:w="1500" w:type="dxa"/>
          </w:tcPr>
          <w:p/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(48小时)再入院例数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再次手术例数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8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住院超30天病例数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7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非医嘱离院例数（住院）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4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医疗不良事件上报数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不达标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检验危急值处理率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100.00%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临床路径入径率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5.56%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出院病历3个工作日归档率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56.75%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普通会诊未及时完成数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26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督查扣分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DDDs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11.68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达标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258497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神经外科_能力及效率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25849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2584973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神经外科_医疗质量与安全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25849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