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C2" w:rsidRDefault="00C93D48" w:rsidP="0052290B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15855D" wp14:editId="2F5763C3">
            <wp:extent cx="5257954" cy="1581150"/>
            <wp:effectExtent l="19050" t="0" r="19050" b="4762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549" cy="15861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C93D48" w:rsidRPr="00C93D48" w:rsidRDefault="00C93D48">
      <w:pPr>
        <w:rPr>
          <w:rFonts w:ascii="微软雅黑" w:eastAsia="微软雅黑" w:hAnsi="微软雅黑"/>
          <w:b/>
          <w:sz w:val="44"/>
          <w:szCs w:val="44"/>
        </w:rPr>
      </w:pPr>
      <w:r w:rsidRPr="00C93D48">
        <w:rPr>
          <w:rFonts w:ascii="微软雅黑" w:eastAsia="微软雅黑" w:hAnsi="微软雅黑" w:hint="eastAsia"/>
          <w:b/>
          <w:sz w:val="44"/>
          <w:szCs w:val="44"/>
        </w:rPr>
        <w:t>关于裕福</w:t>
      </w:r>
    </w:p>
    <w:p w:rsidR="00C93D48" w:rsidRDefault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裕福</w:t>
      </w:r>
      <w:r w:rsidR="00C93D48" w:rsidRPr="00C93D48">
        <w:rPr>
          <w:rFonts w:ascii="微软雅黑" w:eastAsia="微软雅黑" w:hAnsi="微软雅黑" w:hint="eastAsia"/>
          <w:b/>
          <w:sz w:val="30"/>
          <w:szCs w:val="30"/>
        </w:rPr>
        <w:t>简介</w:t>
      </w:r>
      <w:r w:rsidR="00C93D48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6B0E12" w:rsidRDefault="006B0E12" w:rsidP="006B0E12">
      <w:pPr>
        <w:spacing w:afterLines="50" w:after="156"/>
        <w:rPr>
          <w:rFonts w:ascii="方正兰亭黑简体" w:eastAsia="方正兰亭黑简体" w:hAnsi="微软雅黑"/>
          <w:color w:val="000000" w:themeColor="text1"/>
          <w:sz w:val="24"/>
          <w:szCs w:val="24"/>
        </w:rPr>
      </w:pP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裕福集团成立于2011年，是一家覆盖实业投资、金融投资、互联网金融、互联网支付、全国预付卡发行与受理、互联网+（应用、增值）、电子商务、贵金属交易等业务的大型综合性集团。集团将金融投资、实业投资及股权投资进行结合，围绕前沿发展战略进行产业投资合作。目前已投资中国银联（中国银联第一批非银行股东）、中石化销售公司、蚂蚁金服、嘉御基金等知名企业与机构，是云峰基金的发起人及LP。</w:t>
      </w:r>
    </w:p>
    <w:p w:rsidR="006B0E12" w:rsidRPr="006B0E12" w:rsidRDefault="006B0E12" w:rsidP="006B0E12">
      <w:pPr>
        <w:spacing w:afterLines="50" w:after="156"/>
        <w:rPr>
          <w:rFonts w:ascii="方正兰亭黑简体" w:eastAsia="方正兰亭黑简体" w:hAnsi="微软雅黑"/>
          <w:color w:val="000000" w:themeColor="text1"/>
          <w:sz w:val="24"/>
          <w:szCs w:val="24"/>
        </w:rPr>
      </w:pP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裕福集团旗下拥有超过20家子公司，其中包括裕福实业、裕福支付、裕福软件、中石化裕福（裕福与中石化合资公司）、福讯（裕福与万科合资公司）等公司，其拥有资质包括支付业务许可证（全国预付费发行与受理、互联网支付），</w:t>
      </w:r>
      <w:r w:rsidRPr="005527E3">
        <w:rPr>
          <w:rFonts w:ascii="方正兰亭黑简体" w:eastAsia="方正兰亭黑简体" w:hAnsi="inherit" w:hint="eastAsia"/>
          <w:color w:val="222222"/>
          <w:sz w:val="24"/>
          <w:szCs w:val="24"/>
        </w:rPr>
        <w:t>以及证监会颁发的基金销售及支付牌照、人民银行颁发的跨境人民币离岸业务牌照、国家外汇管理局颁发的货币兑换牌照</w:t>
      </w:r>
      <w:r w:rsidRPr="005527E3">
        <w:rPr>
          <w:rFonts w:ascii="方正兰亭黑简体" w:eastAsia="方正兰亭黑简体" w:hint="eastAsia"/>
          <w:color w:val="222222"/>
          <w:sz w:val="24"/>
          <w:szCs w:val="24"/>
        </w:rPr>
        <w:t>等。</w:t>
      </w: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t>裕福集团同中石化、万科，中信银行及交通部等大型企业展开合作，合资成立子公司，布局产业结合支付，场景应用支付的前沿性深入合作，不断扩大合作格局及业务覆盖领域。集团已经在全国31个省5个单列市设立分公司，成功布局全国业务合作，跨产业合作。作为行业领</w:t>
      </w:r>
      <w:r w:rsidRPr="005527E3">
        <w:rPr>
          <w:rFonts w:ascii="方正兰亭黑简体" w:eastAsia="方正兰亭黑简体" w:hAnsi="微软雅黑" w:hint="eastAsia"/>
          <w:color w:val="000000" w:themeColor="text1"/>
          <w:sz w:val="24"/>
          <w:szCs w:val="24"/>
        </w:rPr>
        <w:lastRenderedPageBreak/>
        <w:t>跑者，裕福集团致力多元化化发展，国际化布局，逐步推进全球化战略，稳步向具备国际竞争力的全球化集团企业迈进。</w:t>
      </w:r>
    </w:p>
    <w:p w:rsidR="0052290B" w:rsidRPr="006B0E12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52290B" w:rsidRDefault="0052290B" w:rsidP="0052290B">
      <w:pPr>
        <w:spacing w:line="360" w:lineRule="auto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52290B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裕福历程：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◆2016年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*支付牌照续展成功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*与中信银行签订120万张信用卡发行合约。</w:t>
      </w:r>
    </w:p>
    <w:p w:rsidR="0052290B" w:rsidRPr="00FC2481" w:rsidRDefault="0052290B" w:rsidP="0052290B">
      <w:pPr>
        <w:spacing w:line="360" w:lineRule="auto"/>
        <w:ind w:left="142" w:hanging="14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*裕福支付平台、裕福跨境支付、福卡钱包、裕福旅游、福分期等多个互联网应用产品相继升级上线，实现了实现了线上、线下业务的全面创新、升级。</w:t>
      </w:r>
    </w:p>
    <w:p w:rsidR="0052290B" w:rsidRPr="00FC2481" w:rsidRDefault="0052290B" w:rsidP="0052290B">
      <w:pPr>
        <w:spacing w:line="360" w:lineRule="auto"/>
        <w:ind w:left="142" w:hanging="142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*裕福与万科合资成立福讯信息技术有限公司，为万科全国1074个物业社区发行具备门禁、生活缴费及周边消费等多功能业主卡，为万科业主、准业主提供服务。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*参与投资嘉御基金并成为LP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◆2015年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*获得国家外汇管理局颁发的《外币代兑业务许可》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*获得人民银行颁发的《跨境人民币支付业务许可》。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◆2014年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*裕福成为万事达卡组织全球会员。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*获得了香港海关颁发的《金钱服务经营者牌照》。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*裕福与复星集团等成立合资公司并投资中石化销售有限公司。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◆2013年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*裕福与中石化合资成立中石化裕福支付技术有限公司，为中石化发卡、银行卡收单、互联网支付等工作提供全面技术支持。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*裕福与中信银行推出“中信裕福联名信用卡”，经央行特批，该卡额度高达1000万，创国内信用卡额度之最，受到高端人群广泛关注好评。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◆2012年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*以发动人及投资人身份参与设立云峰基金并成为LP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◆2011年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*裕福获得中国人民银行颁发的《支付业务许可证》，成为首批六家全国性预付卡发行与受理的机构之一。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*福卡商城上线，用户可用福卡在线进行便捷购物消费。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◆2010年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*裕福控股集团有限公司成立。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*对各条事业线进行拆分梳理，细化经营。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◆2007年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*裕福涉足金属投资领域。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◆2006年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*首张“福卡”预付卡发行，受到社会关注。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*裕福投资中国银联，成为中国银联第一批非银行股东。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◆2005年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*裕福实业投资股份有限公司成立。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*裕福旗下珠宝品牌于当年推出采用91面钻石切割技术的Ties系列对戒产品，创中国珠宝行业之先河，受到高端消费人群的追捧。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◆2000——2004年</w:t>
      </w:r>
    </w:p>
    <w:p w:rsidR="0052290B" w:rsidRPr="00FC2481" w:rsidRDefault="0052290B" w:rsidP="0052290B">
      <w:pPr>
        <w:spacing w:line="360" w:lineRule="auto"/>
        <w:ind w:left="142" w:hanging="142"/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" w:name="OLE_LINK4"/>
      <w:bookmarkStart w:id="2" w:name="OLE_LINK5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bookmarkEnd w:id="1"/>
      <w:bookmarkEnd w:id="2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裕福开始从事珠宝、贵金属交易业务，旗下裕福黄金、裕福珠宝品牌在同行中脱颖而出在高端消费人群中享有极高声誉。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*裕福将香港六福珠宝引进内地市场，并开展专卖店业务。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C93D48" w:rsidRDefault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裕福文化：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◆企业使命 </w:t>
      </w:r>
      <w:bookmarkStart w:id="3" w:name="OLE_LINK1"/>
      <w:bookmarkStart w:id="4" w:name="OLE_LINK2"/>
      <w:bookmarkStart w:id="5" w:name="OLE_LINK3"/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:本着以人为本，科技创新，服务金融，客户至上的宗旨。裕福专注于产品创新、技术创新，致力于推动行业发展和社会进步。 </w:t>
      </w:r>
      <w:bookmarkEnd w:id="3"/>
      <w:bookmarkEnd w:id="4"/>
      <w:bookmarkEnd w:id="5"/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◆发展理念 :“认识、认知、认可、认同”是裕福一贯秉承的发展理念。市场及社会各界对裕福的理解、支持、协作是裕福取得成功的基石，亦是企业长期健康发展的动力。 </w:t>
      </w:r>
    </w:p>
    <w:p w:rsidR="0052290B" w:rsidRPr="00FC2481" w:rsidRDefault="0052290B" w:rsidP="0052290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</w:p>
    <w:p w:rsidR="0052290B" w:rsidRDefault="0052290B" w:rsidP="0052290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◆企业文化 :“化繁为简、专注、创新”是裕福文化核心；“合法公正、利国惠民”是裕福行为基准；“以人为本、群策群力、教学相长”，是裕福人才价值观。</w:t>
      </w:r>
    </w:p>
    <w:p w:rsidR="0052290B" w:rsidRDefault="0052290B" w:rsidP="0052290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290B" w:rsidRDefault="001D7DDD" w:rsidP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荣誉资质：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◆首批获得中国人民银行颁发支付业务许可证的机构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*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仅有的六家全国性预付卡发行与受理的企业之</w:t>
      </w:r>
      <w:r w:rsidRPr="00FC2481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⼀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*2016年获人民银行续发牌照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◆非金融机构支付业务服务认证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◆证监会颁发的基金销售及支付牌照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◆人民银行颁发的跨境人民币离岸业务牌照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◆外币代兑业务许可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◆获得国家高新技术企业认证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◆万事达卡集团全球会员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*通过万事达卡发卡系统、反洗钱系统、风控系统等检测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*已完成与美国万事达总部实现了系统专线对接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◆央行重点扶持的支付机构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◆中国银联第一批非银行股东</w:t>
      </w:r>
    </w:p>
    <w:p w:rsidR="00C13D56" w:rsidRDefault="00C13D56" w:rsidP="0052290B">
      <w:pPr>
        <w:rPr>
          <w:rFonts w:ascii="微软雅黑" w:eastAsia="微软雅黑" w:hAnsi="微软雅黑"/>
          <w:b/>
          <w:sz w:val="30"/>
          <w:szCs w:val="30"/>
        </w:rPr>
      </w:pPr>
    </w:p>
    <w:p w:rsidR="00C13D56" w:rsidRDefault="00C13D56" w:rsidP="0052290B">
      <w:pPr>
        <w:rPr>
          <w:rFonts w:ascii="微软雅黑" w:eastAsia="微软雅黑" w:hAnsi="微软雅黑"/>
          <w:b/>
          <w:sz w:val="30"/>
          <w:szCs w:val="30"/>
        </w:rPr>
      </w:pPr>
    </w:p>
    <w:p w:rsidR="001D7DDD" w:rsidRDefault="001D7DDD" w:rsidP="001D7DDD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裕福产业</w:t>
      </w:r>
    </w:p>
    <w:p w:rsidR="001D7DDD" w:rsidRPr="001D7DDD" w:rsidRDefault="001D7DDD" w:rsidP="001D7DDD">
      <w:pPr>
        <w:rPr>
          <w:rFonts w:ascii="微软雅黑" w:eastAsia="微软雅黑" w:hAnsi="微软雅黑"/>
          <w:b/>
          <w:sz w:val="30"/>
          <w:szCs w:val="30"/>
        </w:rPr>
      </w:pPr>
      <w:r w:rsidRPr="001D7DDD">
        <w:rPr>
          <w:rFonts w:ascii="微软雅黑" w:eastAsia="微软雅黑" w:hAnsi="微软雅黑" w:hint="eastAsia"/>
          <w:b/>
          <w:sz w:val="30"/>
          <w:szCs w:val="30"/>
        </w:rPr>
        <w:t>产业投资：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裕福集团将金融投资、实业投资及股权投资进行有机结合，围绕公司战略进行产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业投资。目前已投资中国银联、中石化销售公司、蚂蚁金服、嘉御基金等知名企业与机构，是云峰基金的发起人及LP。</w:t>
      </w:r>
    </w:p>
    <w:p w:rsidR="001D7DDD" w:rsidRPr="00FC2481" w:rsidRDefault="001D7DDD" w:rsidP="001D7DD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集团全资控股的裕福实业投资股份有限公司旗下的裕福支付，是中国首批第三方支付机构之一。裕福分别与中石化合资成立了中石化裕福支付有限公司，与万科合资成立了福讯信息技术有限公司。</w:t>
      </w:r>
    </w:p>
    <w:p w:rsidR="001D7DDD" w:rsidRDefault="001D7DDD" w:rsidP="0052290B">
      <w:pPr>
        <w:rPr>
          <w:rFonts w:ascii="微软雅黑" w:eastAsia="微软雅黑" w:hAnsi="微软雅黑"/>
          <w:b/>
          <w:sz w:val="30"/>
          <w:szCs w:val="30"/>
        </w:rPr>
      </w:pPr>
    </w:p>
    <w:p w:rsidR="00407279" w:rsidRDefault="00407279" w:rsidP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第三方支付</w:t>
      </w:r>
      <w:r w:rsidR="00032ED7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032ED7" w:rsidRPr="00FC2481" w:rsidRDefault="00032ED7" w:rsidP="00032E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秉承诚信合规的发展理念，依托自身强大的技术创新能力和业务拓展能力，以国际化视野为导向深耕第三方支付行业。经过十多年不断地开拓与升级，裕福推出的福卡，已经成为目前国内结算量最大、签约商户最多、使用最普遍、覆盖范围最广的预付费卡。第三方支付业务已发展成为集预付费卡发行与受理、互联网支付、移动支付、跨境支付、基金支付及人民币离岸业务的综合型支付服务产业链。</w:t>
      </w:r>
    </w:p>
    <w:p w:rsidR="00032ED7" w:rsidRDefault="00032ED7" w:rsidP="0052290B">
      <w:pPr>
        <w:rPr>
          <w:rFonts w:ascii="微软雅黑" w:eastAsia="微软雅黑" w:hAnsi="微软雅黑"/>
          <w:b/>
          <w:sz w:val="30"/>
          <w:szCs w:val="30"/>
        </w:rPr>
      </w:pPr>
    </w:p>
    <w:p w:rsidR="00032ED7" w:rsidRDefault="00032ED7" w:rsidP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互联网+应用：</w:t>
      </w:r>
    </w:p>
    <w:p w:rsidR="001D0539" w:rsidRPr="00FC2481" w:rsidRDefault="001D0539" w:rsidP="001D0539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精准把握互联网行业发展时机，于2010年开始全面推进集团业务向线上升级，将创新技术成果深度融合于集团传统业务之中，自主研发了发卡系统、裕福支付平台、福卡手机钱包、福卡电子商城、裕福在线平台、移动收银台等互联网产品，建立了线上支付、消费、结算一站式的金融服务体系。功能覆盖线上预付费卡销售/充值、第三方担保支付、海淘跨境支付、在线购物、生活缴费、观影娱乐、在线旅游出行预定、消费分期、公益捐助、在线收银台等企业与个人用户的全方位在线金融需求，为集团转型开辟了的新路径，并为集团业务全球化发</w:t>
      </w: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展奠定了坚实的基础。</w:t>
      </w:r>
    </w:p>
    <w:p w:rsidR="001D0539" w:rsidRDefault="001D0539" w:rsidP="0052290B">
      <w:pPr>
        <w:rPr>
          <w:rFonts w:ascii="微软雅黑" w:eastAsia="微软雅黑" w:hAnsi="微软雅黑"/>
          <w:b/>
          <w:sz w:val="30"/>
          <w:szCs w:val="30"/>
        </w:rPr>
      </w:pPr>
    </w:p>
    <w:p w:rsidR="001D0539" w:rsidRDefault="001D0539" w:rsidP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互联网金融：</w:t>
      </w:r>
    </w:p>
    <w:p w:rsidR="001D0539" w:rsidRDefault="001D0539" w:rsidP="0052290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于2014年开始布局互联网金融业务，前瞻性地将金融服务与消费场景相结合，依托集团多年业务积累的大数据、丰富的业务资源、完善的征信体系及严格的风险控制，形成了覆盖消费金融、基金、理财、保险、网络小贷、商业保理等服务项目的互联网金融生态圈，致力于以轻、精、快的服务模式为消费者和企业提供更专业可靠的金融服务。</w:t>
      </w:r>
    </w:p>
    <w:p w:rsidR="001D0539" w:rsidRDefault="001D0539" w:rsidP="0052290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1D0539" w:rsidRPr="001D0539" w:rsidRDefault="001D0539" w:rsidP="0052290B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1D0539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贵金属交易：</w:t>
      </w:r>
    </w:p>
    <w:p w:rsidR="001D0539" w:rsidRDefault="001D0539" w:rsidP="001D0539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C248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裕福集团贵金属交易业务迄今已有三十年历史。</w:t>
      </w:r>
    </w:p>
    <w:p w:rsidR="001D0539" w:rsidRDefault="001D0539" w:rsidP="001D0539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F3D83" w:rsidRDefault="000F3D83" w:rsidP="001D0539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1D0539" w:rsidRPr="000F3D83" w:rsidRDefault="000F3D83" w:rsidP="001D0539">
      <w:pPr>
        <w:spacing w:line="360" w:lineRule="auto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bookmarkStart w:id="6" w:name="OLE_LINK11"/>
      <w:bookmarkStart w:id="7" w:name="OLE_LINK7"/>
      <w:r w:rsidRPr="000F3D83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新闻中心</w:t>
      </w:r>
    </w:p>
    <w:p w:rsidR="001D0539" w:rsidRDefault="000F3D83" w:rsidP="0052290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裕福新闻：</w:t>
      </w:r>
    </w:p>
    <w:bookmarkEnd w:id="6"/>
    <w:p w:rsidR="00303A23" w:rsidRDefault="00303A23" w:rsidP="00303A2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sz w:val="24"/>
          <w:szCs w:val="24"/>
        </w:rPr>
      </w:pPr>
      <w:r w:rsidRPr="00303A23"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t>《</w:t>
      </w:r>
      <w:r w:rsidRPr="00303A23"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  <w:t>裕福福卡财卡加入双十一战团</w:t>
      </w:r>
      <w:r w:rsidRPr="00303A23">
        <w:rPr>
          <w:rFonts w:ascii="微软雅黑" w:eastAsia="微软雅黑" w:hAnsi="微软雅黑" w:hint="eastAsia"/>
          <w:b w:val="0"/>
          <w:sz w:val="24"/>
          <w:szCs w:val="24"/>
        </w:rPr>
        <w:t>》——</w:t>
      </w:r>
      <w:r>
        <w:rPr>
          <w:rFonts w:ascii="微软雅黑" w:eastAsia="微软雅黑" w:hAnsi="微软雅黑" w:hint="eastAsia"/>
          <w:b w:val="0"/>
          <w:sz w:val="24"/>
          <w:szCs w:val="24"/>
        </w:rPr>
        <w:t>2013.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11.12 </w:t>
      </w:r>
      <w:r>
        <w:rPr>
          <w:rFonts w:ascii="微软雅黑" w:eastAsia="微软雅黑" w:hAnsi="微软雅黑" w:hint="eastAsia"/>
          <w:b w:val="0"/>
          <w:sz w:val="24"/>
          <w:szCs w:val="24"/>
        </w:rPr>
        <w:t>网易财经频道</w:t>
      </w:r>
    </w:p>
    <w:p w:rsidR="00303A23" w:rsidRPr="00303A23" w:rsidRDefault="00303A23" w:rsidP="00303A23">
      <w:pPr>
        <w:rPr>
          <w:rStyle w:val="a3"/>
          <w:rFonts w:ascii="微软雅黑" w:eastAsia="微软雅黑" w:hAnsi="微软雅黑"/>
          <w:sz w:val="24"/>
          <w:szCs w:val="24"/>
        </w:rPr>
      </w:pPr>
      <w:r w:rsidRPr="00303A23">
        <w:rPr>
          <w:rStyle w:val="a3"/>
          <w:rFonts w:ascii="微软雅黑" w:eastAsia="微软雅黑" w:hAnsi="微软雅黑"/>
          <w:sz w:val="24"/>
          <w:szCs w:val="24"/>
        </w:rPr>
        <w:t>http://money.163.com/13/1112/02/9DEQLKO100253B0H.html</w:t>
      </w:r>
    </w:p>
    <w:p w:rsidR="000F3D83" w:rsidRDefault="00F075AF" w:rsidP="00F075AF">
      <w:pPr>
        <w:rPr>
          <w:rFonts w:ascii="微软雅黑" w:eastAsia="微软雅黑" w:hAnsi="微软雅黑"/>
          <w:sz w:val="24"/>
          <w:szCs w:val="24"/>
        </w:rPr>
      </w:pPr>
      <w:r w:rsidRPr="00F075AF">
        <w:rPr>
          <w:rFonts w:ascii="微软雅黑" w:eastAsia="微软雅黑" w:hAnsi="微软雅黑" w:hint="eastAsia"/>
          <w:sz w:val="24"/>
          <w:szCs w:val="24"/>
        </w:rPr>
        <w:t>《裕福：把线下客户资源延伸到线上》</w:t>
      </w:r>
      <w:r>
        <w:rPr>
          <w:rFonts w:ascii="微软雅黑" w:eastAsia="微软雅黑" w:hAnsi="微软雅黑" w:hint="eastAsia"/>
          <w:sz w:val="24"/>
          <w:szCs w:val="24"/>
        </w:rPr>
        <w:t>——2</w:t>
      </w:r>
      <w:r>
        <w:rPr>
          <w:rFonts w:ascii="微软雅黑" w:eastAsia="微软雅黑" w:hAnsi="微软雅黑"/>
          <w:sz w:val="24"/>
          <w:szCs w:val="24"/>
        </w:rPr>
        <w:t xml:space="preserve">013.09.28 </w:t>
      </w:r>
      <w:r>
        <w:rPr>
          <w:rFonts w:ascii="微软雅黑" w:eastAsia="微软雅黑" w:hAnsi="微软雅黑" w:hint="eastAsia"/>
          <w:sz w:val="24"/>
          <w:szCs w:val="24"/>
        </w:rPr>
        <w:t>新浪财经</w:t>
      </w:r>
    </w:p>
    <w:p w:rsidR="00F075AF" w:rsidRDefault="00736746" w:rsidP="00F075AF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="00F075AF" w:rsidRPr="00A871F8">
          <w:rPr>
            <w:rStyle w:val="a3"/>
            <w:rFonts w:ascii="微软雅黑" w:eastAsia="微软雅黑" w:hAnsi="微软雅黑"/>
            <w:sz w:val="24"/>
            <w:szCs w:val="24"/>
          </w:rPr>
          <w:t>http://finance.sina.com.cn/roll/20130928/023316876936.shtml</w:t>
        </w:r>
      </w:hyperlink>
    </w:p>
    <w:p w:rsidR="00F075AF" w:rsidRDefault="00F075AF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sz w:val="24"/>
          <w:szCs w:val="24"/>
        </w:rPr>
      </w:pPr>
      <w:r w:rsidRPr="00F075AF"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t>《中信 裕福联名卡面市</w:t>
      </w:r>
      <w:r w:rsidRPr="00A471A1">
        <w:rPr>
          <w:rFonts w:ascii="微软雅黑" w:eastAsia="微软雅黑" w:hAnsi="微软雅黑" w:hint="eastAsia"/>
          <w:b w:val="0"/>
          <w:sz w:val="24"/>
          <w:szCs w:val="24"/>
        </w:rPr>
        <w:t>》</w:t>
      </w:r>
      <w:r w:rsidR="00A471A1" w:rsidRPr="00A471A1">
        <w:rPr>
          <w:rFonts w:ascii="微软雅黑" w:eastAsia="微软雅黑" w:hAnsi="微软雅黑" w:hint="eastAsia"/>
          <w:b w:val="0"/>
          <w:sz w:val="24"/>
          <w:szCs w:val="24"/>
        </w:rPr>
        <w:t>——</w:t>
      </w:r>
      <w:r w:rsidR="00A471A1">
        <w:rPr>
          <w:rFonts w:ascii="微软雅黑" w:eastAsia="微软雅黑" w:hAnsi="微软雅黑" w:hint="eastAsia"/>
          <w:b w:val="0"/>
          <w:sz w:val="24"/>
          <w:szCs w:val="24"/>
        </w:rPr>
        <w:t>2013.09.11</w:t>
      </w:r>
      <w:r w:rsidR="00A471A1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A471A1">
        <w:rPr>
          <w:rFonts w:ascii="微软雅黑" w:eastAsia="微软雅黑" w:hAnsi="微软雅黑" w:hint="eastAsia"/>
          <w:b w:val="0"/>
          <w:sz w:val="24"/>
          <w:szCs w:val="24"/>
        </w:rPr>
        <w:t>凤凰网财经</w:t>
      </w:r>
    </w:p>
    <w:p w:rsidR="00A471A1" w:rsidRPr="00A471A1" w:rsidRDefault="00736746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  <w:hyperlink r:id="rId9" w:history="1">
        <w:r w:rsidR="00A471A1" w:rsidRPr="00A471A1">
          <w:rPr>
            <w:rStyle w:val="a3"/>
            <w:rFonts w:ascii="微软雅黑" w:eastAsia="微软雅黑" w:hAnsi="微软雅黑" w:cstheme="minorBidi"/>
            <w:b w:val="0"/>
            <w:kern w:val="2"/>
            <w:sz w:val="24"/>
            <w:szCs w:val="24"/>
          </w:rPr>
          <w:t>http://finance.ifeng.com/a/20130911/10652724_0.shtml</w:t>
        </w:r>
      </w:hyperlink>
    </w:p>
    <w:p w:rsidR="00A471A1" w:rsidRPr="00303A23" w:rsidRDefault="00A471A1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  <w:r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lastRenderedPageBreak/>
        <w:t>《</w:t>
      </w:r>
      <w:r w:rsidRPr="00A471A1"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t>裕福董事长郑俊豪：预付卡的蓝海在个人市场</w:t>
      </w:r>
      <w:r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t>》——2012.12</w:t>
      </w:r>
      <w:r w:rsidR="00303A23"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  <w:t xml:space="preserve">.22 </w:t>
      </w:r>
      <w:r w:rsidR="00303A23">
        <w:rPr>
          <w:rFonts w:ascii="微软雅黑" w:eastAsia="微软雅黑" w:hAnsi="微软雅黑" w:cstheme="minorBidi" w:hint="eastAsia"/>
          <w:b w:val="0"/>
          <w:bCs w:val="0"/>
          <w:kern w:val="2"/>
          <w:sz w:val="24"/>
          <w:szCs w:val="24"/>
        </w:rPr>
        <w:t>凤凰网科技</w:t>
      </w:r>
    </w:p>
    <w:p w:rsidR="00303A23" w:rsidRPr="00303A23" w:rsidRDefault="00736746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  <w:hyperlink r:id="rId10" w:history="1">
        <w:r w:rsidR="00303A23" w:rsidRPr="00303A23">
          <w:rPr>
            <w:rStyle w:val="a3"/>
            <w:rFonts w:ascii="微软雅黑" w:eastAsia="微软雅黑" w:hAnsi="微软雅黑" w:cstheme="minorBidi"/>
            <w:b w:val="0"/>
            <w:kern w:val="2"/>
            <w:sz w:val="24"/>
            <w:szCs w:val="24"/>
          </w:rPr>
          <w:t>http://tech.ifeng.com/internet/detail_2012_12/22/20425323_0.shtml?_from_ralated</w:t>
        </w:r>
      </w:hyperlink>
    </w:p>
    <w:bookmarkEnd w:id="7"/>
    <w:p w:rsidR="00303A23" w:rsidRDefault="00303A23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</w:p>
    <w:p w:rsidR="00397A04" w:rsidRDefault="00397A04" w:rsidP="00A471A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</w:p>
    <w:p w:rsidR="00397A04" w:rsidRDefault="00397A04" w:rsidP="00397A04">
      <w:pPr>
        <w:spacing w:line="360" w:lineRule="auto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 w:rsidRPr="00397A04"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合作伙伴</w:t>
      </w:r>
    </w:p>
    <w:p w:rsidR="00397A04" w:rsidRDefault="00397A04" w:rsidP="00397A04">
      <w:pPr>
        <w:spacing w:line="360" w:lineRule="auto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397A04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中国石化</w:t>
      </w:r>
      <w:r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：</w:t>
      </w:r>
    </w:p>
    <w:p w:rsidR="0030239A" w:rsidRPr="00F03E12" w:rsidRDefault="00D905E8" w:rsidP="00F03E1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F03E12">
        <w:rPr>
          <w:rFonts w:ascii="微软雅黑" w:eastAsia="微软雅黑" w:hAnsi="微软雅黑" w:hint="eastAsia"/>
          <w:sz w:val="24"/>
          <w:szCs w:val="24"/>
        </w:rPr>
        <w:t>集团旗下</w:t>
      </w:r>
      <w:r w:rsidR="00F03E12" w:rsidRPr="00F03E12">
        <w:rPr>
          <w:rFonts w:ascii="微软雅黑" w:eastAsia="微软雅黑" w:hAnsi="微软雅黑" w:hint="eastAsia"/>
          <w:sz w:val="24"/>
          <w:szCs w:val="24"/>
        </w:rPr>
        <w:t>全资控股裕福实业投资股份有限公司的全资子公司</w:t>
      </w:r>
      <w:r w:rsidR="00C13D56" w:rsidRPr="00F03E12">
        <w:rPr>
          <w:rFonts w:ascii="微软雅黑" w:eastAsia="微软雅黑" w:hAnsi="微软雅黑" w:hint="eastAsia"/>
          <w:sz w:val="24"/>
          <w:szCs w:val="24"/>
        </w:rPr>
        <w:t>裕福支付与中石化全面合作，双方合资成立“中石化裕福支付技术有限公司”</w:t>
      </w:r>
      <w:r w:rsidRPr="00F03E12">
        <w:rPr>
          <w:rFonts w:ascii="微软雅黑" w:eastAsia="微软雅黑" w:hAnsi="微软雅黑" w:hint="eastAsia"/>
          <w:sz w:val="24"/>
          <w:szCs w:val="24"/>
        </w:rPr>
        <w:t>。</w:t>
      </w:r>
    </w:p>
    <w:p w:rsidR="0030239A" w:rsidRPr="00D905E8" w:rsidRDefault="00C13D56" w:rsidP="00D905E8">
      <w:pPr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中石化是特大型石油石化企业集团，福布斯世界排名第三，国内自营加油站3</w:t>
      </w:r>
      <w:r w:rsidR="009A06FF">
        <w:rPr>
          <w:rFonts w:ascii="微软雅黑" w:eastAsia="微软雅黑" w:hAnsi="微软雅黑"/>
          <w:sz w:val="24"/>
          <w:szCs w:val="24"/>
        </w:rPr>
        <w:t>.8</w:t>
      </w:r>
      <w:r w:rsidRPr="00D905E8">
        <w:rPr>
          <w:rFonts w:ascii="微软雅黑" w:eastAsia="微软雅黑" w:hAnsi="微软雅黑" w:hint="eastAsia"/>
          <w:sz w:val="24"/>
          <w:szCs w:val="24"/>
        </w:rPr>
        <w:t>万余座，2万余个易捷超市</w:t>
      </w:r>
      <w:r w:rsidR="00D905E8">
        <w:rPr>
          <w:rFonts w:ascii="微软雅黑" w:eastAsia="微软雅黑" w:hAnsi="微软雅黑" w:hint="eastAsia"/>
          <w:sz w:val="24"/>
          <w:szCs w:val="24"/>
        </w:rPr>
        <w:t>。</w:t>
      </w:r>
    </w:p>
    <w:p w:rsidR="0030239A" w:rsidRPr="00D905E8" w:rsidRDefault="00C13D56" w:rsidP="00D905E8">
      <w:pPr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合资公司为中石化的15000亿销售额做支付服务，包括POS收单，互联网支付、移动支付、ATM运营等</w:t>
      </w:r>
      <w:r w:rsidR="00D905E8">
        <w:rPr>
          <w:rFonts w:ascii="微软雅黑" w:eastAsia="微软雅黑" w:hAnsi="微软雅黑" w:hint="eastAsia"/>
          <w:sz w:val="24"/>
          <w:szCs w:val="24"/>
        </w:rPr>
        <w:t>。</w:t>
      </w:r>
    </w:p>
    <w:p w:rsidR="0030239A" w:rsidRPr="00D905E8" w:rsidRDefault="00C13D56" w:rsidP="00D905E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裕福支付联合复星等公司投资中石化销售公司3.5亿美金</w:t>
      </w:r>
      <w:r w:rsidR="00D905E8">
        <w:rPr>
          <w:rFonts w:ascii="微软雅黑" w:eastAsia="微软雅黑" w:hAnsi="微软雅黑" w:hint="eastAsia"/>
          <w:sz w:val="24"/>
          <w:szCs w:val="24"/>
        </w:rPr>
        <w:t>。</w:t>
      </w:r>
    </w:p>
    <w:p w:rsidR="0030239A" w:rsidRDefault="00C13D56" w:rsidP="00D905E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裕福支付与中石化进行全面系统对接，透过美国FIS公司的发卡系统为易捷福卡提供技术服务</w:t>
      </w:r>
      <w:r w:rsidR="00D905E8">
        <w:rPr>
          <w:rFonts w:ascii="微软雅黑" w:eastAsia="微软雅黑" w:hAnsi="微软雅黑" w:hint="eastAsia"/>
          <w:sz w:val="24"/>
          <w:szCs w:val="24"/>
        </w:rPr>
        <w:t>。</w:t>
      </w:r>
    </w:p>
    <w:p w:rsidR="00D905E8" w:rsidRDefault="00D905E8" w:rsidP="00D905E8">
      <w:pPr>
        <w:rPr>
          <w:rFonts w:ascii="微软雅黑" w:eastAsia="微软雅黑" w:hAnsi="微软雅黑"/>
          <w:sz w:val="24"/>
          <w:szCs w:val="24"/>
        </w:rPr>
      </w:pPr>
    </w:p>
    <w:p w:rsidR="00D905E8" w:rsidRPr="00D905E8" w:rsidRDefault="00D905E8" w:rsidP="00D905E8">
      <w:pPr>
        <w:rPr>
          <w:rFonts w:ascii="微软雅黑" w:eastAsia="微软雅黑" w:hAnsi="微软雅黑"/>
          <w:b/>
          <w:sz w:val="24"/>
          <w:szCs w:val="24"/>
        </w:rPr>
      </w:pPr>
      <w:bookmarkStart w:id="8" w:name="OLE_LINK10"/>
      <w:r w:rsidRPr="00D905E8">
        <w:rPr>
          <w:rFonts w:ascii="微软雅黑" w:eastAsia="微软雅黑" w:hAnsi="微软雅黑" w:hint="eastAsia"/>
          <w:b/>
          <w:sz w:val="24"/>
          <w:szCs w:val="24"/>
        </w:rPr>
        <w:t>中石化联名卡——</w:t>
      </w:r>
    </w:p>
    <w:p w:rsidR="0030239A" w:rsidRPr="00D905E8" w:rsidRDefault="00C13D56" w:rsidP="00D905E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中石化易捷福卡</w:t>
      </w:r>
    </w:p>
    <w:p w:rsidR="0030239A" w:rsidRPr="00D905E8" w:rsidRDefault="00C13D56" w:rsidP="00D905E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由裕福支付有限公司与中石化联名发行的预付卡；</w:t>
      </w:r>
    </w:p>
    <w:p w:rsidR="0030239A" w:rsidRPr="00D905E8" w:rsidRDefault="00C13D56" w:rsidP="00D905E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可在中石化3.8万余座加油站、2万余家易捷超市网点使用；</w:t>
      </w:r>
    </w:p>
    <w:p w:rsidR="0030239A" w:rsidRPr="00D905E8" w:rsidRDefault="00C13D56" w:rsidP="00D905E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lastRenderedPageBreak/>
        <w:t>可在福卡所有商户网点使用，享受福卡通用卡所有优惠及会员服务；</w:t>
      </w:r>
    </w:p>
    <w:p w:rsidR="0030239A" w:rsidRPr="00D905E8" w:rsidRDefault="00C13D56" w:rsidP="00D905E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 w:rsidRPr="00D905E8">
        <w:rPr>
          <w:rFonts w:ascii="微软雅黑" w:eastAsia="微软雅黑" w:hAnsi="微软雅黑" w:hint="eastAsia"/>
          <w:sz w:val="24"/>
          <w:szCs w:val="24"/>
        </w:rPr>
        <w:t>销售网点覆盖全国，并通过互联网及移动端发行电子卡。</w:t>
      </w:r>
    </w:p>
    <w:bookmarkEnd w:id="8"/>
    <w:p w:rsidR="00D905E8" w:rsidRPr="00D905E8" w:rsidRDefault="00D905E8" w:rsidP="00D905E8">
      <w:pPr>
        <w:rPr>
          <w:rFonts w:ascii="微软雅黑" w:eastAsia="微软雅黑" w:hAnsi="微软雅黑"/>
          <w:sz w:val="24"/>
          <w:szCs w:val="24"/>
        </w:rPr>
      </w:pPr>
    </w:p>
    <w:p w:rsidR="00D905E8" w:rsidRDefault="0033780A" w:rsidP="00397A04">
      <w:pPr>
        <w:spacing w:line="360" w:lineRule="auto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bookmarkStart w:id="9" w:name="OLE_LINK6"/>
      <w:r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万科集团：</w:t>
      </w:r>
    </w:p>
    <w:bookmarkEnd w:id="9"/>
    <w:p w:rsidR="0033780A" w:rsidRPr="00B254C7" w:rsidRDefault="00B254C7" w:rsidP="00B254C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B254C7">
        <w:rPr>
          <w:rFonts w:ascii="微软雅黑" w:eastAsia="微软雅黑" w:hAnsi="微软雅黑" w:hint="eastAsia"/>
          <w:sz w:val="24"/>
          <w:szCs w:val="24"/>
        </w:rPr>
        <w:t>集团旗下</w:t>
      </w:r>
      <w:r w:rsidR="00F03E12" w:rsidRPr="00F03E12">
        <w:rPr>
          <w:rFonts w:ascii="微软雅黑" w:eastAsia="微软雅黑" w:hAnsi="微软雅黑" w:hint="eastAsia"/>
          <w:sz w:val="24"/>
          <w:szCs w:val="24"/>
        </w:rPr>
        <w:t>全资控股裕福实业投资股份有限公司的全资子公司</w:t>
      </w:r>
      <w:r w:rsidRPr="00B254C7">
        <w:rPr>
          <w:rFonts w:ascii="微软雅黑" w:eastAsia="微软雅黑" w:hAnsi="微软雅黑" w:hint="eastAsia"/>
          <w:sz w:val="24"/>
          <w:szCs w:val="24"/>
        </w:rPr>
        <w:t>裕福支付同万科物业展开全方位合作，双方合资成立“福讯信息技术有限公司”。</w:t>
      </w:r>
    </w:p>
    <w:p w:rsidR="00B254C7" w:rsidRDefault="00B254C7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B254C7">
        <w:rPr>
          <w:rFonts w:ascii="微软雅黑" w:eastAsia="微软雅黑" w:hAnsi="微软雅黑" w:hint="eastAsia"/>
          <w:sz w:val="24"/>
          <w:szCs w:val="24"/>
        </w:rPr>
        <w:t>万科物业发展有限公司是万科企业股份有限公司的全资子公司。截至2015年底，万科物业已布局中国64个最具发展潜力的大中城市，服务项目共计约1,000个，合同面积超过2.1亿平方米，在管资产突破3.29万亿元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254C7" w:rsidRDefault="00902239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合资公司为万科</w:t>
      </w:r>
      <w:r w:rsidR="00B254C7">
        <w:rPr>
          <w:rFonts w:ascii="微软雅黑" w:eastAsia="微软雅黑" w:hAnsi="微软雅黑" w:hint="eastAsia"/>
          <w:sz w:val="24"/>
          <w:szCs w:val="24"/>
        </w:rPr>
        <w:t>千万业主及准业主提供</w:t>
      </w:r>
      <w:r w:rsidR="00F154DD">
        <w:rPr>
          <w:rFonts w:ascii="微软雅黑" w:eastAsia="微软雅黑" w:hAnsi="微软雅黑" w:hint="eastAsia"/>
          <w:sz w:val="24"/>
          <w:szCs w:val="24"/>
        </w:rPr>
        <w:t>包括</w:t>
      </w:r>
      <w:r w:rsidR="00A644FF">
        <w:rPr>
          <w:rFonts w:ascii="微软雅黑" w:eastAsia="微软雅黑" w:hAnsi="微软雅黑" w:hint="eastAsia"/>
          <w:sz w:val="24"/>
          <w:szCs w:val="24"/>
        </w:rPr>
        <w:t>生活、金融、消费在</w:t>
      </w:r>
      <w:r w:rsidR="001C5DE2">
        <w:rPr>
          <w:rFonts w:ascii="微软雅黑" w:eastAsia="微软雅黑" w:hAnsi="微软雅黑" w:hint="eastAsia"/>
          <w:sz w:val="24"/>
          <w:szCs w:val="24"/>
        </w:rPr>
        <w:t>内</w:t>
      </w:r>
      <w:r w:rsidR="00A644FF">
        <w:rPr>
          <w:rFonts w:ascii="微软雅黑" w:eastAsia="微软雅黑" w:hAnsi="微软雅黑" w:hint="eastAsia"/>
          <w:sz w:val="24"/>
          <w:szCs w:val="24"/>
        </w:rPr>
        <w:t>的</w:t>
      </w:r>
      <w:r w:rsidR="00B254C7">
        <w:rPr>
          <w:rFonts w:ascii="微软雅黑" w:eastAsia="微软雅黑" w:hAnsi="微软雅黑" w:hint="eastAsia"/>
          <w:sz w:val="24"/>
          <w:szCs w:val="24"/>
        </w:rPr>
        <w:t>全方位综合服务。</w:t>
      </w:r>
    </w:p>
    <w:p w:rsidR="00902239" w:rsidRPr="00027A22" w:rsidRDefault="00902239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A63A39" w:rsidRPr="00D905E8" w:rsidRDefault="00A63A39" w:rsidP="00A63A3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万科</w:t>
      </w:r>
      <w:r w:rsidR="007660AE">
        <w:rPr>
          <w:rFonts w:ascii="微软雅黑" w:eastAsia="微软雅黑" w:hAnsi="微软雅黑" w:hint="eastAsia"/>
          <w:b/>
          <w:sz w:val="24"/>
          <w:szCs w:val="24"/>
        </w:rPr>
        <w:t>物业</w:t>
      </w:r>
      <w:r w:rsidRPr="00D905E8">
        <w:rPr>
          <w:rFonts w:ascii="微软雅黑" w:eastAsia="微软雅黑" w:hAnsi="微软雅黑" w:hint="eastAsia"/>
          <w:b/>
          <w:sz w:val="24"/>
          <w:szCs w:val="24"/>
        </w:rPr>
        <w:t>联名卡——</w:t>
      </w:r>
    </w:p>
    <w:p w:rsidR="00A63A39" w:rsidRDefault="00A63A39" w:rsidP="00A63A3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社区一卡通</w:t>
      </w:r>
    </w:p>
    <w:p w:rsidR="00CB0377" w:rsidRPr="00CB0377" w:rsidRDefault="00CB0377" w:rsidP="00CB037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一卡通服务万科全国12000</w:t>
      </w:r>
      <w:r w:rsidR="00E1122F">
        <w:rPr>
          <w:rFonts w:ascii="微软雅黑" w:eastAsia="微软雅黑" w:hAnsi="微软雅黑" w:hint="eastAsia"/>
          <w:sz w:val="24"/>
          <w:szCs w:val="24"/>
        </w:rPr>
        <w:t>万业主，</w:t>
      </w:r>
      <w:r w:rsidRPr="00CB0377">
        <w:rPr>
          <w:rFonts w:ascii="微软雅黑" w:eastAsia="微软雅黑" w:hAnsi="微软雅黑" w:hint="eastAsia"/>
          <w:sz w:val="24"/>
          <w:szCs w:val="24"/>
        </w:rPr>
        <w:t>为用户统一用户ID,提供消费、金融、健康、智能家居</w:t>
      </w:r>
      <w:r w:rsidR="00697481">
        <w:rPr>
          <w:rFonts w:ascii="微软雅黑" w:eastAsia="微软雅黑" w:hAnsi="微软雅黑" w:hint="eastAsia"/>
          <w:sz w:val="24"/>
          <w:szCs w:val="24"/>
        </w:rPr>
        <w:t>等</w:t>
      </w:r>
      <w:r w:rsidRPr="00CB0377">
        <w:rPr>
          <w:rFonts w:ascii="微软雅黑" w:eastAsia="微软雅黑" w:hAnsi="微软雅黑" w:hint="eastAsia"/>
          <w:sz w:val="24"/>
          <w:szCs w:val="24"/>
        </w:rPr>
        <w:t>各项服务的统一支付体系，受理范围覆盖全国，线上线下3,000余个合作品牌。签约商户超过100,000家。支持刷卡消费、App扫码支付(主扫/被扫)、NFC非接支付。</w:t>
      </w:r>
    </w:p>
    <w:p w:rsidR="0030239A" w:rsidRPr="00CB0377" w:rsidRDefault="00C13D56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首次实现在社区实名制发卡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30239A" w:rsidRPr="00CB0377" w:rsidRDefault="008C53AC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1.0版</w:t>
      </w:r>
      <w:r w:rsidR="00C13D56" w:rsidRPr="00CB0377">
        <w:rPr>
          <w:rFonts w:ascii="微软雅黑" w:eastAsia="微软雅黑" w:hAnsi="微软雅黑" w:hint="eastAsia"/>
          <w:sz w:val="24"/>
          <w:szCs w:val="24"/>
        </w:rPr>
        <w:t>累计发卡248万张，累计充值1.65亿元，沉淀资金2000万元</w:t>
      </w:r>
      <w:r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30239A" w:rsidRPr="00CB0377" w:rsidRDefault="004E3FC7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bCs/>
          <w:sz w:val="24"/>
          <w:szCs w:val="24"/>
        </w:rPr>
        <w:t>2.0版升级为多用途预付费卡</w:t>
      </w:r>
      <w:r w:rsidR="006F5315" w:rsidRPr="00CB0377">
        <w:rPr>
          <w:rFonts w:ascii="微软雅黑" w:eastAsia="微软雅黑" w:hAnsi="微软雅黑" w:hint="eastAsia"/>
          <w:sz w:val="24"/>
          <w:szCs w:val="24"/>
        </w:rPr>
        <w:t>，不仅限于社区使用及服务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15173A" w:rsidRPr="00CB0377" w:rsidRDefault="00253BBD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万科</w:t>
      </w:r>
      <w:r w:rsidR="0095147F" w:rsidRPr="00CB0377">
        <w:rPr>
          <w:rFonts w:ascii="微软雅黑" w:eastAsia="微软雅黑" w:hAnsi="微软雅黑" w:hint="eastAsia"/>
          <w:sz w:val="24"/>
          <w:szCs w:val="24"/>
        </w:rPr>
        <w:t>“住这儿”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绑卡、充值</w:t>
      </w:r>
      <w:r w:rsidR="0015173A" w:rsidRPr="00CB0377">
        <w:rPr>
          <w:rFonts w:ascii="微软雅黑" w:eastAsia="微软雅黑" w:hAnsi="微软雅黑" w:hint="eastAsia"/>
          <w:sz w:val="24"/>
          <w:szCs w:val="24"/>
        </w:rPr>
        <w:t>、查询、</w:t>
      </w:r>
      <w:r w:rsidR="00C13D56" w:rsidRPr="00CB0377">
        <w:rPr>
          <w:rFonts w:ascii="微软雅黑" w:eastAsia="微软雅黑" w:hAnsi="微软雅黑" w:hint="eastAsia"/>
          <w:sz w:val="24"/>
          <w:szCs w:val="24"/>
        </w:rPr>
        <w:t>支付</w:t>
      </w:r>
      <w:r w:rsidR="00172E8B" w:rsidRPr="00CB0377">
        <w:rPr>
          <w:rFonts w:ascii="微软雅黑" w:eastAsia="微软雅黑" w:hAnsi="微软雅黑" w:hint="eastAsia"/>
          <w:sz w:val="24"/>
          <w:szCs w:val="24"/>
        </w:rPr>
        <w:t>功能</w:t>
      </w:r>
      <w:r w:rsidR="0015173A"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30239A" w:rsidRPr="00CB0377" w:rsidRDefault="008C53AC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lastRenderedPageBreak/>
        <w:t>门禁、停车、生活缴费、物业缴费、线上线下全场景消费</w:t>
      </w:r>
      <w:r w:rsidR="00172E8B" w:rsidRPr="00CB0377">
        <w:rPr>
          <w:rFonts w:ascii="微软雅黑" w:eastAsia="微软雅黑" w:hAnsi="微软雅黑" w:hint="eastAsia"/>
          <w:sz w:val="24"/>
          <w:szCs w:val="24"/>
        </w:rPr>
        <w:t>功能</w:t>
      </w:r>
      <w:r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30239A" w:rsidRPr="00CB0377" w:rsidRDefault="00C13D56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ETC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全国联网高速通行</w:t>
      </w:r>
      <w:r w:rsidRPr="00CB0377">
        <w:rPr>
          <w:rFonts w:ascii="微软雅黑" w:eastAsia="微软雅黑" w:hAnsi="微软雅黑" w:hint="eastAsia"/>
          <w:sz w:val="24"/>
          <w:szCs w:val="24"/>
        </w:rPr>
        <w:t>功能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30239A" w:rsidRPr="00CB0377" w:rsidRDefault="00C13D56" w:rsidP="00CB0377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0377">
        <w:rPr>
          <w:rFonts w:ascii="微软雅黑" w:eastAsia="微软雅黑" w:hAnsi="微软雅黑" w:hint="eastAsia"/>
          <w:sz w:val="24"/>
          <w:szCs w:val="24"/>
        </w:rPr>
        <w:t>中石化加油卡充值</w:t>
      </w:r>
      <w:r w:rsidR="00172E8B" w:rsidRPr="00CB0377">
        <w:rPr>
          <w:rFonts w:ascii="微软雅黑" w:eastAsia="微软雅黑" w:hAnsi="微软雅黑" w:hint="eastAsia"/>
          <w:sz w:val="24"/>
          <w:szCs w:val="24"/>
        </w:rPr>
        <w:t>功能</w:t>
      </w:r>
      <w:r w:rsidR="008C53AC" w:rsidRPr="00CB0377">
        <w:rPr>
          <w:rFonts w:ascii="微软雅黑" w:eastAsia="微软雅黑" w:hAnsi="微软雅黑" w:hint="eastAsia"/>
          <w:sz w:val="24"/>
          <w:szCs w:val="24"/>
        </w:rPr>
        <w:t>；</w:t>
      </w:r>
    </w:p>
    <w:p w:rsidR="006F5315" w:rsidRPr="00CB0377" w:rsidRDefault="006F5315" w:rsidP="006F5315">
      <w:pPr>
        <w:rPr>
          <w:rFonts w:ascii="微软雅黑" w:eastAsia="微软雅黑" w:hAnsi="微软雅黑"/>
          <w:sz w:val="24"/>
          <w:szCs w:val="24"/>
        </w:rPr>
      </w:pPr>
    </w:p>
    <w:p w:rsidR="009D370C" w:rsidRDefault="009D370C" w:rsidP="009D370C">
      <w:pPr>
        <w:spacing w:line="360" w:lineRule="auto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中信银行：</w:t>
      </w:r>
    </w:p>
    <w:p w:rsidR="00BC4A5D" w:rsidRPr="003F37D3" w:rsidRDefault="00BC4A5D" w:rsidP="003F37D3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F3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裕福集团牵手中信银行</w:t>
      </w:r>
      <w:r w:rsidR="003F37D3" w:rsidRPr="003F3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展开线上线下全方位合作。</w:t>
      </w:r>
    </w:p>
    <w:p w:rsidR="003F37D3" w:rsidRPr="00BC4A5D" w:rsidRDefault="003F37D3" w:rsidP="009D370C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中信银行是中国的全国性</w:t>
      </w:r>
      <w:hyperlink r:id="rId11" w:tgtFrame="_blank" w:history="1">
        <w:r w:rsidRPr="003F37D3">
          <w:rPr>
            <w:rFonts w:ascii="微软雅黑" w:eastAsia="微软雅黑" w:hAnsi="微软雅黑"/>
            <w:color w:val="000000" w:themeColor="text1"/>
            <w:sz w:val="24"/>
            <w:szCs w:val="24"/>
          </w:rPr>
          <w:t>商业银行</w:t>
        </w:r>
      </w:hyperlink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之一，总部位于北京，主要股东是中国中信股份有限公司。2007年中信银行在</w:t>
      </w:r>
      <w:hyperlink r:id="rId12" w:tgtFrame="_blank" w:history="1">
        <w:r w:rsidRPr="003F37D3">
          <w:rPr>
            <w:rFonts w:ascii="微软雅黑" w:eastAsia="微软雅黑" w:hAnsi="微软雅黑"/>
            <w:color w:val="000000" w:themeColor="text1"/>
            <w:sz w:val="24"/>
            <w:szCs w:val="24"/>
          </w:rPr>
          <w:t>上海证券交易所</w:t>
        </w:r>
      </w:hyperlink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上市。中信银行为中国大陆第七大银行，其总资产为12000余亿港元，共有16000多名员工及540余家分支机构。它是香港中资金融股的</w:t>
      </w:r>
      <w:hyperlink r:id="rId13" w:tgtFrame="_blank" w:history="1">
        <w:r w:rsidRPr="003F37D3">
          <w:rPr>
            <w:rFonts w:ascii="微软雅黑" w:eastAsia="微软雅黑" w:hAnsi="微软雅黑"/>
            <w:color w:val="000000" w:themeColor="text1"/>
            <w:sz w:val="24"/>
            <w:szCs w:val="24"/>
          </w:rPr>
          <w:t>六行三保</w:t>
        </w:r>
      </w:hyperlink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之一。</w:t>
      </w:r>
    </w:p>
    <w:p w:rsidR="00A63A39" w:rsidRPr="003F37D3" w:rsidRDefault="003F37D3" w:rsidP="003F37D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F3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2016年，裕福</w:t>
      </w:r>
      <w:r w:rsidR="00BC4A5D" w:rsidRPr="003F3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与中信银行签订120万张信用卡发行合约。</w:t>
      </w:r>
    </w:p>
    <w:p w:rsidR="00A63A39" w:rsidRPr="003F37D3" w:rsidRDefault="003F37D3" w:rsidP="003F37D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F37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裕福、中信双方</w:t>
      </w:r>
      <w:r w:rsidRPr="003F37D3">
        <w:rPr>
          <w:rFonts w:ascii="微软雅黑" w:eastAsia="微软雅黑" w:hAnsi="微软雅黑"/>
          <w:color w:val="000000" w:themeColor="text1"/>
          <w:sz w:val="24"/>
          <w:szCs w:val="24"/>
        </w:rPr>
        <w:t>整合线下商户网络及线上消费体系，将银行的支付技术落地到商户资源，以积分通兑、服务共享等形式让客户享受到更多服务。</w:t>
      </w:r>
    </w:p>
    <w:p w:rsidR="00507012" w:rsidRDefault="00507012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A56198" w:rsidRPr="00D905E8" w:rsidRDefault="00A56198" w:rsidP="00A5619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中信</w:t>
      </w:r>
      <w:r w:rsidRPr="00D905E8">
        <w:rPr>
          <w:rFonts w:ascii="微软雅黑" w:eastAsia="微软雅黑" w:hAnsi="微软雅黑" w:hint="eastAsia"/>
          <w:b/>
          <w:sz w:val="24"/>
          <w:szCs w:val="24"/>
        </w:rPr>
        <w:t>联名卡——</w:t>
      </w:r>
    </w:p>
    <w:p w:rsidR="00A56198" w:rsidRPr="00D905E8" w:rsidRDefault="00A56198" w:rsidP="00A5619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中信</w:t>
      </w:r>
      <w:r w:rsidR="001952B9">
        <w:rPr>
          <w:rFonts w:ascii="微软雅黑" w:eastAsia="微软雅黑" w:hAnsi="微软雅黑" w:hint="eastAsia"/>
          <w:sz w:val="24"/>
          <w:szCs w:val="24"/>
        </w:rPr>
        <w:t>-裕福联名信用卡、联名借记卡</w:t>
      </w:r>
    </w:p>
    <w:p w:rsidR="00CC3B9C" w:rsidRDefault="00CC3B9C" w:rsidP="00A5619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独家绑定裕福“财卡”，提供综合金融服务；</w:t>
      </w:r>
    </w:p>
    <w:p w:rsidR="00CC3B9C" w:rsidRPr="00CC3B9C" w:rsidRDefault="00CC3B9C" w:rsidP="00A56198">
      <w:pPr>
        <w:tabs>
          <w:tab w:val="num" w:pos="72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借记卡可设置自动向信用卡还款，信用卡消费可累计财卡积分，财卡积分作为信用卡消费金补充可应用于裕福商户。三卡互为补充，形成良性循环。</w:t>
      </w:r>
    </w:p>
    <w:p w:rsidR="00A56198" w:rsidRDefault="00CC3B9C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EC5B86">
        <w:rPr>
          <w:rFonts w:ascii="微软雅黑" w:eastAsia="微软雅黑" w:hAnsi="微软雅黑"/>
          <w:sz w:val="24"/>
          <w:szCs w:val="24"/>
        </w:rPr>
        <w:t>联名卡包装了36+1高尔夫畅打、白金航空礼遇、白金医疗服务、航班延误2小时立赔1000元、1500万航空意外伤害保险等12项在内的白金服务。</w:t>
      </w:r>
    </w:p>
    <w:p w:rsidR="00F666A4" w:rsidRDefault="00F666A4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F666A4" w:rsidRDefault="00F666A4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F666A4" w:rsidRPr="000F3D83" w:rsidRDefault="00000AF7" w:rsidP="00F666A4">
      <w:pPr>
        <w:spacing w:line="360" w:lineRule="auto"/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联系我们</w:t>
      </w:r>
    </w:p>
    <w:p w:rsidR="00F666A4" w:rsidRDefault="00000AF7" w:rsidP="00000AF7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办公地点</w:t>
      </w:r>
      <w:r w:rsidR="00F666A4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000AF7" w:rsidRDefault="00000AF7" w:rsidP="00000AF7">
      <w:pPr>
        <w:rPr>
          <w:rFonts w:ascii="微软雅黑" w:eastAsia="微软雅黑" w:hAnsi="微软雅黑"/>
          <w:sz w:val="24"/>
          <w:szCs w:val="24"/>
        </w:rPr>
      </w:pPr>
      <w:r w:rsidRPr="00000AF7">
        <w:rPr>
          <w:rFonts w:ascii="微软雅黑" w:eastAsia="微软雅黑" w:hAnsi="微软雅黑" w:hint="eastAsia"/>
          <w:sz w:val="24"/>
          <w:szCs w:val="24"/>
        </w:rPr>
        <w:t>办公地址：</w:t>
      </w:r>
      <w:r>
        <w:rPr>
          <w:rFonts w:ascii="微软雅黑" w:eastAsia="微软雅黑" w:hAnsi="微软雅黑" w:hint="eastAsia"/>
          <w:sz w:val="24"/>
          <w:szCs w:val="24"/>
        </w:rPr>
        <w:t>北京市朝阳区光华里丙17号</w:t>
      </w:r>
    </w:p>
    <w:p w:rsidR="00537514" w:rsidRPr="00000AF7" w:rsidRDefault="00190471" w:rsidP="00000A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联系电话：</w:t>
      </w:r>
    </w:p>
    <w:p w:rsidR="00F666A4" w:rsidRDefault="00537514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AAD582" wp14:editId="3C42607A">
            <wp:extent cx="5274310" cy="2179955"/>
            <wp:effectExtent l="19050" t="0" r="21590" b="639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37514" w:rsidRDefault="00537514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4E77D" wp14:editId="795BAD75">
            <wp:extent cx="5274310" cy="2932430"/>
            <wp:effectExtent l="19050" t="0" r="21590" b="8585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66A4" w:rsidRPr="00A56198" w:rsidRDefault="00F666A4" w:rsidP="00397A0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sectPr w:rsidR="00F666A4" w:rsidRPr="00A5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746" w:rsidRDefault="00736746" w:rsidP="006B0E12">
      <w:r>
        <w:separator/>
      </w:r>
    </w:p>
  </w:endnote>
  <w:endnote w:type="continuationSeparator" w:id="0">
    <w:p w:rsidR="00736746" w:rsidRDefault="00736746" w:rsidP="006B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746" w:rsidRDefault="00736746" w:rsidP="006B0E12">
      <w:r>
        <w:separator/>
      </w:r>
    </w:p>
  </w:footnote>
  <w:footnote w:type="continuationSeparator" w:id="0">
    <w:p w:rsidR="00736746" w:rsidRDefault="00736746" w:rsidP="006B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410"/>
    <w:multiLevelType w:val="hybridMultilevel"/>
    <w:tmpl w:val="0088D504"/>
    <w:lvl w:ilvl="0" w:tplc="776C0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88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8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2B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26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C3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0D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46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4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DC1A44"/>
    <w:multiLevelType w:val="hybridMultilevel"/>
    <w:tmpl w:val="A4B8D1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BF1792"/>
    <w:multiLevelType w:val="hybridMultilevel"/>
    <w:tmpl w:val="FB162940"/>
    <w:lvl w:ilvl="0" w:tplc="EABCED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A8452">
      <w:numFmt w:val="none"/>
      <w:lvlText w:val=""/>
      <w:lvlJc w:val="left"/>
      <w:pPr>
        <w:tabs>
          <w:tab w:val="num" w:pos="360"/>
        </w:tabs>
      </w:pPr>
    </w:lvl>
    <w:lvl w:ilvl="2" w:tplc="C302D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9CD1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1CC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433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2B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211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FE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1825"/>
    <w:multiLevelType w:val="hybridMultilevel"/>
    <w:tmpl w:val="117C03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DA0A79"/>
    <w:multiLevelType w:val="hybridMultilevel"/>
    <w:tmpl w:val="39942F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A17580"/>
    <w:multiLevelType w:val="hybridMultilevel"/>
    <w:tmpl w:val="E56CFFBA"/>
    <w:lvl w:ilvl="0" w:tplc="2708C82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75025D"/>
    <w:multiLevelType w:val="hybridMultilevel"/>
    <w:tmpl w:val="B4F0E5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2D4D7F"/>
    <w:multiLevelType w:val="hybridMultilevel"/>
    <w:tmpl w:val="857EC7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1D00DA"/>
    <w:multiLevelType w:val="hybridMultilevel"/>
    <w:tmpl w:val="8EE0B9F0"/>
    <w:lvl w:ilvl="0" w:tplc="A3D251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6F4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2E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6BE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678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04EC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6B6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C0E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E81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81D14"/>
    <w:multiLevelType w:val="hybridMultilevel"/>
    <w:tmpl w:val="69427D34"/>
    <w:lvl w:ilvl="0" w:tplc="DB746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8C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42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C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A9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6C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E5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28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21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7906DE"/>
    <w:multiLevelType w:val="hybridMultilevel"/>
    <w:tmpl w:val="5FA849DE"/>
    <w:lvl w:ilvl="0" w:tplc="40D0F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6D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80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A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E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0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A5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64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80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996393"/>
    <w:multiLevelType w:val="hybridMultilevel"/>
    <w:tmpl w:val="B972D6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81"/>
    <w:rsid w:val="00000AF7"/>
    <w:rsid w:val="00027A22"/>
    <w:rsid w:val="00032ED7"/>
    <w:rsid w:val="000F3D83"/>
    <w:rsid w:val="00126FC6"/>
    <w:rsid w:val="0015173A"/>
    <w:rsid w:val="00172E8B"/>
    <w:rsid w:val="00190471"/>
    <w:rsid w:val="001952B9"/>
    <w:rsid w:val="001C5DE2"/>
    <w:rsid w:val="001D0539"/>
    <w:rsid w:val="001D7DDD"/>
    <w:rsid w:val="00203102"/>
    <w:rsid w:val="00232900"/>
    <w:rsid w:val="00253BBD"/>
    <w:rsid w:val="002F6CD1"/>
    <w:rsid w:val="0030239A"/>
    <w:rsid w:val="00303A23"/>
    <w:rsid w:val="00317E64"/>
    <w:rsid w:val="0033780A"/>
    <w:rsid w:val="00355CE4"/>
    <w:rsid w:val="00383365"/>
    <w:rsid w:val="00397A04"/>
    <w:rsid w:val="003F37D3"/>
    <w:rsid w:val="004017AF"/>
    <w:rsid w:val="00407279"/>
    <w:rsid w:val="004E3FC7"/>
    <w:rsid w:val="00507012"/>
    <w:rsid w:val="0052290B"/>
    <w:rsid w:val="00537514"/>
    <w:rsid w:val="006549FF"/>
    <w:rsid w:val="006635C2"/>
    <w:rsid w:val="00697481"/>
    <w:rsid w:val="006B0E12"/>
    <w:rsid w:val="006F5315"/>
    <w:rsid w:val="00713964"/>
    <w:rsid w:val="00736746"/>
    <w:rsid w:val="007660AE"/>
    <w:rsid w:val="00780A3F"/>
    <w:rsid w:val="00853CD1"/>
    <w:rsid w:val="008C53AC"/>
    <w:rsid w:val="00902239"/>
    <w:rsid w:val="00915FA6"/>
    <w:rsid w:val="0095147F"/>
    <w:rsid w:val="009A06FF"/>
    <w:rsid w:val="009D370C"/>
    <w:rsid w:val="00A471A1"/>
    <w:rsid w:val="00A56198"/>
    <w:rsid w:val="00A63A39"/>
    <w:rsid w:val="00A644FF"/>
    <w:rsid w:val="00B254C7"/>
    <w:rsid w:val="00BC4A5D"/>
    <w:rsid w:val="00C13D56"/>
    <w:rsid w:val="00C93D48"/>
    <w:rsid w:val="00CB0377"/>
    <w:rsid w:val="00CC3B9C"/>
    <w:rsid w:val="00D83E81"/>
    <w:rsid w:val="00D905E8"/>
    <w:rsid w:val="00E1122F"/>
    <w:rsid w:val="00EC5B86"/>
    <w:rsid w:val="00F03E12"/>
    <w:rsid w:val="00F075AF"/>
    <w:rsid w:val="00F154DD"/>
    <w:rsid w:val="00F427C5"/>
    <w:rsid w:val="00F666A4"/>
    <w:rsid w:val="00F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B8765-3C35-432B-9EA6-E1C14B5A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75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5A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075AF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075AF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D905E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0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0E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0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7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8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ina.com.cn/roll/20130928/023316876936.shtml" TargetMode="External"/><Relationship Id="rId13" Type="http://schemas.openxmlformats.org/officeDocument/2006/relationships/hyperlink" Target="http://baike.baidu.com/item/%E5%85%AD%E8%A1%8C%E4%B8%89%E4%BF%9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item/%E4%B8%8A%E6%B5%B7%E8%AF%81%E5%88%B8%E4%BA%A4%E6%98%93%E6%89%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95%86%E4%B8%9A%E9%93%B6%E8%A1%8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tech.ifeng.com/internet/detail_2012_12/22/20425323_0.shtml?_from_rala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nance.ifeng.com/a/20130911/10652724_0.s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46</cp:revision>
  <dcterms:created xsi:type="dcterms:W3CDTF">2017-06-01T01:51:00Z</dcterms:created>
  <dcterms:modified xsi:type="dcterms:W3CDTF">2017-06-16T01:28:00Z</dcterms:modified>
</cp:coreProperties>
</file>