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4C16B4">
      <w:pPr>
        <w:pStyle w:val="19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szCs w:val="52"/>
          <w:lang w:eastAsia="zh-CN"/>
        </w:rPr>
      </w:pPr>
      <w:bookmarkStart w:id="0" w:name="_Toc30439"/>
      <w:bookmarkStart w:id="1" w:name="_Toc13781"/>
      <w:bookmarkStart w:id="2" w:name="_Toc1874"/>
      <w:r>
        <w:rPr>
          <w:sz w:val="5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-308610</wp:posOffset>
                </wp:positionH>
                <wp:positionV relativeFrom="paragraph">
                  <wp:posOffset>180975</wp:posOffset>
                </wp:positionV>
                <wp:extent cx="5791200" cy="3587750"/>
                <wp:effectExtent l="0" t="0" r="0" b="12700"/>
                <wp:wrapNone/>
                <wp:docPr id="135" name="组合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3587750"/>
                          <a:chOff x="5261" y="4758"/>
                          <a:chExt cx="9120" cy="5650"/>
                        </a:xfrm>
                      </wpg:grpSpPr>
                      <wps:wsp>
                        <wps:cNvPr id="131" name="矩形 131"/>
                        <wps:cNvSpPr/>
                        <wps:spPr>
                          <a:xfrm>
                            <a:off x="5261" y="5038"/>
                            <a:ext cx="2780" cy="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2" name="矩形 132"/>
                        <wps:cNvSpPr/>
                        <wps:spPr>
                          <a:xfrm>
                            <a:off x="11251" y="4758"/>
                            <a:ext cx="3130" cy="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4" name="矩形 134"/>
                        <wps:cNvSpPr/>
                        <wps:spPr>
                          <a:xfrm>
                            <a:off x="7562" y="9888"/>
                            <a:ext cx="4579" cy="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4.3pt;margin-top:14.25pt;height:282.5pt;width:456pt;z-index:251659264;mso-width-relative:page;mso-height-relative:page;" coordorigin="5261,4758" coordsize="9120,5650" o:gfxdata="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x&#10;Z1oO2wAAAAoBAAAPAAAAAAAAAAEAIAAAACIAAABkcnMvZG93bnJldi54bWxQSwECFAAUAAAACACH&#10;TuJAgcoE9z4DAADpCwAADgAAAAAAAAABACAAAAAqAQAAZHJzL2Uyb0RvYy54bWxQSwUGAAAAAAYA&#10;BgBZAQAA2gYAAAAA&#10;">
                <o:lock v:ext="edit" aspectratio="f"/>
                <v:rect id="_x0000_s1026" o:spid="_x0000_s1026" o:spt="1" style="position:absolute;left:5261;top:5038;height:5300;width:2780;v-text-anchor:middle;" fillcolor="#FFFFFF" filled="t" stroked="f" coordsize="21600,21600" o:gfxdata="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0CZd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251;top:4758;height:5590;width:3130;v-text-anchor:middle;" fillcolor="#FFFFFF" filled="t" stroked="f" coordsize="21600,21600" o:gfxdata="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0CuCq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7562;top:9888;height:520;width:4579;v-text-anchor:middle;" fillcolor="#FFFFFF" filled="t" stroked="f" coordsize="21600,21600" o:gfxdata="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p4XF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szCs w:val="52"/>
          <w:lang w:eastAsia="zh-CN"/>
        </w:rPr>
        <w:drawing>
          <wp:inline distT="0" distB="0" distL="114300" distR="114300">
            <wp:extent cx="5271770" cy="3651885"/>
            <wp:effectExtent l="0" t="0" r="5080" b="5715"/>
            <wp:docPr id="98" name="图片 98" descr="Flyatcsim 扇区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Flyatcsim 扇区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89C8">
      <w:pPr>
        <w:pStyle w:val="1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Ground Radar</w:t>
      </w:r>
    </w:p>
    <w:p w14:paraId="3AEAACC4">
      <w:pPr>
        <w:pStyle w:val="19"/>
        <w:bidi w:val="0"/>
        <w:outlineLvl w:val="0"/>
        <w:rPr>
          <w:rFonts w:hint="eastAsia"/>
        </w:rPr>
      </w:pPr>
      <w:bookmarkStart w:id="3" w:name="_Toc758"/>
      <w:bookmarkStart w:id="4" w:name="_Toc16776"/>
      <w:bookmarkStart w:id="5" w:name="_Toc3485"/>
      <w:r>
        <w:rPr>
          <w:rFonts w:hint="eastAsia"/>
          <w:lang w:val="en-US" w:eastAsia="zh-CN"/>
        </w:rPr>
        <w:t>使用</w:t>
      </w:r>
      <w:r>
        <w:rPr>
          <w:rFonts w:hint="eastAsia"/>
        </w:rPr>
        <w:t>教程</w:t>
      </w:r>
      <w:bookmarkEnd w:id="0"/>
      <w:bookmarkEnd w:id="1"/>
      <w:bookmarkEnd w:id="2"/>
      <w:bookmarkEnd w:id="3"/>
      <w:bookmarkEnd w:id="4"/>
      <w:bookmarkEnd w:id="5"/>
    </w:p>
    <w:p w14:paraId="5CA82EF5">
      <w:pPr>
        <w:pStyle w:val="19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sz w:val="52"/>
          <w:szCs w:val="52"/>
          <w:lang w:eastAsia="zh-CN"/>
        </w:rPr>
        <w:sectPr>
          <w:headerReference r:id="rId3" w:type="default"/>
          <w:footerReference r:id="rId4" w:type="default"/>
          <w:pgSz w:w="11906" w:h="16838"/>
          <w:pgMar w:top="1440" w:right="1797" w:bottom="1440" w:left="179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vAlign w:val="center"/>
          <w:docGrid w:type="lines" w:linePitch="312" w:charSpace="0"/>
        </w:sectPr>
      </w:pPr>
    </w:p>
    <w:sdt>
      <w:sdtPr>
        <w:rPr>
          <w:rFonts w:ascii="宋体" w:hAnsi="宋体" w:eastAsia="宋体" w:cs="阿里巴巴普惠体 3.0 55 Regular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id w:val="147454216"/>
        <w15:color w:val="DBDBDB"/>
        <w:docPartObj>
          <w:docPartGallery w:val="Table of Contents"/>
          <w:docPartUnique/>
        </w:docPartObj>
      </w:sdtPr>
      <w:sdtEndPr>
        <w:rPr>
          <w:rFonts w:hint="eastAsia" w:ascii="阿里巴巴普惠体 3.0 55 Regular" w:hAnsi="阿里巴巴普惠体 3.0 55 Regular" w:eastAsia="阿里巴巴普惠体 3.0 55 Regular" w:cs="阿里巴巴普惠体 3.0 55 Regular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sdtEndPr>
      <w:sdtContent>
        <w:p w14:paraId="5369B19F">
          <w:pPr>
            <w:rPr>
              <w:rFonts w:hint="eastAsia" w:ascii="阿里巴巴普惠体 3.0 55 Regular" w:hAnsi="阿里巴巴普惠体 3.0 55 Regular" w:eastAsia="阿里巴巴普惠体 3.0 55 Regular" w:cs="阿里巴巴普惠体 3.0 55 Regular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color w:val="00B0F0"/>
              <w:sz w:val="32"/>
              <w:szCs w:val="32"/>
            </w:rPr>
            <w:t>【目录】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b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b/>
            </w:rPr>
            <w:instrText xml:space="preserve">TOC \o "1-1" \h \u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b/>
            </w:rPr>
            <w:fldChar w:fldCharType="separate"/>
          </w:r>
        </w:p>
        <w:p w14:paraId="4CDDC11F">
          <w:pPr>
            <w:pStyle w:val="14"/>
            <w:tabs>
              <w:tab w:val="right" w:leader="hyphen" w:pos="8312"/>
            </w:tabs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_Toc3485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/>
              <w:lang w:val="en-US" w:eastAsia="zh-CN"/>
            </w:rPr>
            <w:t>使用</w:t>
          </w:r>
          <w:r>
            <w:rPr>
              <w:rFonts w:hint="eastAsia"/>
            </w:rPr>
            <w:t>教程</w:t>
          </w:r>
          <w:r>
            <w:tab/>
          </w:r>
          <w:r>
            <w:fldChar w:fldCharType="begin"/>
          </w:r>
          <w:r>
            <w:instrText xml:space="preserve"> PAGEREF _Toc3485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22080B84">
          <w:pPr>
            <w:pStyle w:val="14"/>
            <w:tabs>
              <w:tab w:val="right" w:leader="hyphen" w:pos="8312"/>
            </w:tabs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_Toc64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>01 前言</w:t>
          </w:r>
          <w:r>
            <w:tab/>
          </w:r>
          <w:r>
            <w:fldChar w:fldCharType="begin"/>
          </w:r>
          <w:r>
            <w:instrText xml:space="preserve"> PAGEREF _Toc64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7F7324E6">
          <w:pPr>
            <w:pStyle w:val="14"/>
            <w:tabs>
              <w:tab w:val="right" w:leader="hyphen" w:pos="8312"/>
            </w:tabs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_Toc20037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>02 选择版本</w:t>
          </w:r>
          <w:r>
            <w:tab/>
          </w:r>
          <w:r>
            <w:fldChar w:fldCharType="begin"/>
          </w:r>
          <w:r>
            <w:instrText xml:space="preserve"> PAGEREF _Toc20037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2EBF96EA">
          <w:pPr>
            <w:pStyle w:val="14"/>
            <w:tabs>
              <w:tab w:val="right" w:leader="hyphen" w:pos="8312"/>
            </w:tabs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_Toc12188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/>
              <w:lang w:val="en-US" w:eastAsia="zh-CN"/>
            </w:rPr>
            <w:t>32 修订记录</w:t>
          </w:r>
          <w:r>
            <w:tab/>
          </w:r>
          <w:r>
            <w:fldChar w:fldCharType="begin"/>
          </w:r>
          <w:r>
            <w:instrText xml:space="preserve"> PAGEREF _Toc12188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0C673871">
          <w:pPr>
            <w:pStyle w:val="14"/>
            <w:tabs>
              <w:tab w:val="right" w:leader="hyphen" w:pos="8312"/>
            </w:tabs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_Toc12754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lang w:val="en-US" w:eastAsia="zh-CN"/>
            </w:rPr>
            <w:t>32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 xml:space="preserve"> 结语</w:t>
          </w:r>
          <w:r>
            <w:tab/>
          </w:r>
          <w:r>
            <w:fldChar w:fldCharType="begin"/>
          </w:r>
          <w:r>
            <w:instrText xml:space="preserve"> PAGEREF _Toc12754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5D3E9E67">
          <w:pPr>
            <w:jc w:val="center"/>
            <w:rPr>
              <w:rFonts w:hint="eastAsia" w:ascii="阿里巴巴普惠体 3.0 55 Regular" w:hAnsi="阿里巴巴普惠体 3.0 55 Regular" w:eastAsia="阿里巴巴普惠体 3.0 55 Regular" w:cs="阿里巴巴普惠体 3.0 55 Regular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</w:sdtContent>
    </w:sdt>
    <w:p w14:paraId="0657EDA1">
      <w:pPr>
        <w:rPr>
          <w:rFonts w:hint="eastAsia" w:ascii="阿里巴巴普惠体 3.0 55 Regular" w:hAnsi="阿里巴巴普惠体 3.0 55 Regular" w:eastAsia="阿里巴巴普惠体 3.0 55 Regular" w:cs="阿里巴巴普惠体 3.0 55 Regular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464FABCF">
      <w:pPr>
        <w:widowControl/>
        <w:jc w:val="left"/>
        <w:rPr>
          <w:rFonts w:hint="eastAsia" w:ascii="阿里巴巴普惠体 3.0 55 Regular" w:hAnsi="阿里巴巴普惠体 3.0 55 Regular" w:eastAsia="阿里巴巴普惠体 3.0 55 Regular" w:cs="阿里巴巴普惠体 3.0 55 Regular"/>
          <w:sz w:val="32"/>
          <w:szCs w:val="32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br w:type="page"/>
      </w:r>
    </w:p>
    <w:p w14:paraId="797F0E98">
      <w:pPr>
        <w:pStyle w:val="2"/>
        <w:bidi w:val="0"/>
        <w:rPr>
          <w:rFonts w:hint="eastAsia"/>
        </w:rPr>
      </w:pPr>
      <w:bookmarkStart w:id="6" w:name="_Toc6297"/>
      <w:bookmarkStart w:id="7" w:name="_Toc64"/>
      <w:bookmarkStart w:id="8" w:name="_01 前言"/>
      <w:r>
        <w:rPr>
          <w:rFonts w:hint="eastAsia"/>
        </w:rPr>
        <w:t>01 前言</w:t>
      </w:r>
      <w:bookmarkEnd w:id="6"/>
      <w:bookmarkEnd w:id="7"/>
    </w:p>
    <w:bookmarkEnd w:id="8"/>
    <w:p w14:paraId="2248A9DF">
      <w:pPr>
        <w:bidi w:val="0"/>
        <w:rPr>
          <w:rFonts w:hint="default" w:ascii="阿里巴巴普惠体 3.0 55 Regular" w:hAnsi="阿里巴巴普惠体 3.0 55 Regular" w:eastAsia="阿里巴巴普惠体 3.0 55 Regular" w:cs="阿里巴巴普惠体 3.0 55 Regular"/>
          <w:lang w:val="en-US" w:eastAsia="zh-CN"/>
        </w:rPr>
        <w:sectPr>
          <w:pgSz w:w="11906" w:h="16838"/>
          <w:pgMar w:top="1440" w:right="1797" w:bottom="1440" w:left="179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  <w:r>
        <w:rPr>
          <w:rFonts w:hint="eastAsia" w:cs="阿里巴巴普惠体 3.0 55 Regular"/>
          <w:lang w:val="en-US" w:eastAsia="zh-CN"/>
        </w:rPr>
        <w:t>在Flyatcsim扇区中，Ground Radar均配置为Ground模式，本文档也以地面模式展开描述。</w:t>
      </w:r>
    </w:p>
    <w:p w14:paraId="29A7E9A5">
      <w:pPr>
        <w:pStyle w:val="2"/>
        <w:bidi w:val="0"/>
        <w:rPr>
          <w:rFonts w:hint="eastAsia"/>
          <w:lang w:val="en-US" w:eastAsia="zh-CN"/>
        </w:rPr>
      </w:pPr>
      <w:bookmarkStart w:id="9" w:name="_Toc15731"/>
      <w:bookmarkStart w:id="10" w:name="_Toc20037"/>
      <w:r>
        <w:rPr>
          <w:rFonts w:hint="eastAsia"/>
        </w:rPr>
        <w:t xml:space="preserve">02 </w:t>
      </w:r>
      <w:bookmarkEnd w:id="9"/>
      <w:bookmarkEnd w:id="10"/>
      <w:r>
        <w:rPr>
          <w:rFonts w:hint="eastAsia"/>
          <w:lang w:val="en-US" w:eastAsia="zh-CN"/>
        </w:rPr>
        <w:t>开始</w:t>
      </w:r>
    </w:p>
    <w:p w14:paraId="7E35D9A3">
      <w:pPr>
        <w:rPr>
          <w:rFonts w:hint="eastAsia" w:cs="阿里巴巴普惠体 3.0 55 Regular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  <w:r>
        <w:rPr>
          <w:rFonts w:hint="eastAsia" w:cs="阿里巴巴普惠体 3.0 55 Regular"/>
          <w:lang w:val="en-US" w:eastAsia="zh-CN"/>
        </w:rPr>
        <w:t>地面雷达有两种模式，一种模式为Ground模式，这种模式是基于SAAB A3000 A-SMGCS系统的，另一种是Tower模式，这种模式是基于SAAB RDP空中交通显示系统的。在ASR文件中可以指定使用的模式。请注意需要安装的运行库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"https://aka.ms/vs/17/release/vc_redist.x86.exe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VC_redist.x86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cs="阿里巴巴普惠体 3.0 55 Regular"/>
          <w:lang w:val="en-US" w:eastAsia="zh-CN"/>
        </w:rPr>
        <w:t>。</w:t>
      </w:r>
    </w:p>
    <w:p w14:paraId="70510EA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更新</w:t>
      </w:r>
    </w:p>
    <w:p w14:paraId="49A84648">
      <w:pPr>
        <w:rPr>
          <w:rFonts w:hint="default" w:cs="阿里巴巴普惠体 3.0 55 Regular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  <w:r>
        <w:rPr>
          <w:rFonts w:hint="eastAsia" w:cs="阿里巴巴普惠体 3.0 55 Regular"/>
          <w:lang w:val="en-US" w:eastAsia="zh-CN"/>
        </w:rPr>
        <w:t>插件在启动时，会检查更新插件。如果插件更新可用，将可以看到消息框中最新版本的下载地址，请注意一般下载的内容，只需要替换进文件夹内，非必要不要删除后放入，因为文件夹内包含插件配置的内容。如果有强制更新，并且更新的日期已经过了，功能将被禁用。</w:t>
      </w:r>
    </w:p>
    <w:p w14:paraId="6D1375D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全局菜单</w:t>
      </w:r>
    </w:p>
    <w:p w14:paraId="04DAD872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固定针</w:t>
      </w:r>
    </w:p>
    <w:p w14:paraId="1B40F7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在全局菜单的最左边有一个按钮</w:t>
      </w:r>
      <w:r>
        <w:drawing>
          <wp:inline distT="0" distB="0" distL="114300" distR="114300">
            <wp:extent cx="266700" cy="190500"/>
            <wp:effectExtent l="0" t="0" r="0" b="0"/>
            <wp:docPr id="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使用这个按钮可以进行切换菜单的显示方式。当按钮被激活时，将会出现一个方框，这将把全局菜单一直显示到屏幕上。当按钮为被激活时，菜单将会被折叠，当鼠标移到菜单附近时，才会进行显示，这在使用TopSky的全局菜单时显得非常有用。</w:t>
      </w:r>
    </w:p>
    <w:p w14:paraId="75DA6099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Setting菜单（Ground模式）</w:t>
      </w:r>
    </w:p>
    <w:p w14:paraId="5EEFA923">
      <w:pPr>
        <w:pStyle w:val="4"/>
        <w:bidi w:val="0"/>
        <w:rPr>
          <w:rFonts w:hint="eastAsia"/>
          <w:lang w:val="en-US" w:eastAsia="zh-CN"/>
        </w:rPr>
      </w:pPr>
      <w:bookmarkStart w:id="11" w:name="_① Display"/>
      <w:r>
        <w:rPr>
          <w:rFonts w:hint="eastAsia"/>
          <w:lang w:val="en-US" w:eastAsia="zh-CN"/>
        </w:rPr>
        <w:t>① Display</w:t>
      </w:r>
    </w:p>
    <w:bookmarkEnd w:id="11"/>
    <w:p w14:paraId="32C8766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可以打开右图的菜单，配置显示的内容。</w:t>
      </w:r>
    </w:p>
    <w:p w14:paraId="6D3F2035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4973320</wp:posOffset>
            </wp:positionH>
            <wp:positionV relativeFrom="paragraph">
              <wp:posOffset>17780</wp:posOffset>
            </wp:positionV>
            <wp:extent cx="1108710" cy="2132965"/>
            <wp:effectExtent l="0" t="0" r="15240" b="635"/>
            <wp:wrapSquare wrapText="bothSides"/>
            <wp:docPr id="1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871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Prmode：切换专业模式。</w:t>
      </w:r>
    </w:p>
    <w:p w14:paraId="543B10D5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Tracks（机组目标）</w:t>
      </w:r>
    </w:p>
    <w:p w14:paraId="5E9FA289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Display：切换显示。</w:t>
      </w:r>
    </w:p>
    <w:p w14:paraId="7D074BB7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History：历史轨迹显示的数量（0-19）。</w:t>
      </w:r>
    </w:p>
    <w:p w14:paraId="773B1198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HDG line：切换当前航向线显示。</w:t>
      </w:r>
    </w:p>
    <w:p w14:paraId="362ED526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AltFilter</w:t>
      </w:r>
      <w:r>
        <w:rPr>
          <w:rFonts w:hint="eastAsia"/>
          <w:lang w:val="en-US" w:eastAsia="zh-CN"/>
        </w:rPr>
        <w:t>：高度过滤（隐藏高度高于</w:t>
      </w:r>
      <w:r>
        <w:rPr>
          <w:rFonts w:hint="eastAsia"/>
          <w:color w:val="C00000"/>
          <w:lang w:val="en-US" w:eastAsia="zh-CN"/>
        </w:rPr>
        <w:t>机场标高</w:t>
      </w:r>
      <w:r>
        <w:rPr>
          <w:rFonts w:hint="eastAsia"/>
          <w:lang w:val="en-US" w:eastAsia="zh-CN"/>
        </w:rPr>
        <w:t>指定高度的机组，数值为实际高度*100，1-999）。</w:t>
      </w:r>
    </w:p>
    <w:p w14:paraId="4203D2C4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2nd Window</w:t>
      </w:r>
      <w:r>
        <w:rPr>
          <w:rFonts w:hint="eastAsia"/>
          <w:lang w:val="en-US" w:eastAsia="zh-CN"/>
        </w:rPr>
        <w:t>（第二个交通情况显示窗）</w:t>
      </w:r>
    </w:p>
    <w:p w14:paraId="44A996BD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Rotation：旋转角度（0.0-360.0或空即为auto自动）。</w:t>
      </w:r>
    </w:p>
    <w:p w14:paraId="079847EC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 Window</w:t>
      </w:r>
      <w:r>
        <w:rPr>
          <w:rFonts w:hint="eastAsia"/>
          <w:lang w:val="en-US" w:eastAsia="zh-CN"/>
        </w:rPr>
        <w:t>（APP窗口）</w:t>
      </w:r>
    </w:p>
    <w:p w14:paraId="20FBAE2A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History：历史轨迹显示的数量（0-19）。</w:t>
      </w:r>
    </w:p>
    <w:p w14:paraId="449E27C6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Predictio</w:t>
      </w:r>
      <w:r>
        <w:rPr>
          <w:rFonts w:hint="eastAsia"/>
          <w:lang w:val="en-US" w:eastAsia="zh-CN"/>
        </w:rPr>
        <w:t>n：矢量线的数量（0-99）。</w:t>
      </w:r>
    </w:p>
    <w:p w14:paraId="61719470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Rotation</w:t>
      </w:r>
      <w:r>
        <w:rPr>
          <w:rFonts w:hint="eastAsia"/>
          <w:lang w:val="en-US" w:eastAsia="zh-CN"/>
        </w:rPr>
        <w:t>：旋转角度（0.0-360.0或空即为auto自动）。</w:t>
      </w:r>
    </w:p>
    <w:p w14:paraId="028CC617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Extensions</w:t>
      </w:r>
      <w:r>
        <w:rPr>
          <w:rFonts w:hint="eastAsia"/>
          <w:lang w:val="en-US" w:eastAsia="zh-CN"/>
        </w:rPr>
        <w:t>：跑道延长线的长度（0-999，nm）</w:t>
      </w:r>
    </w:p>
    <w:p w14:paraId="13733F38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AltFilter</w:t>
      </w:r>
      <w:r>
        <w:rPr>
          <w:rFonts w:hint="eastAsia"/>
          <w:lang w:val="en-US" w:eastAsia="zh-CN"/>
        </w:rPr>
        <w:t>：高度过滤（隐藏高度高于指定高度的机组，数值为实际高度*100，1-999）。</w:t>
      </w:r>
    </w:p>
    <w:p w14:paraId="2F764F1B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 Path Window</w:t>
      </w:r>
    </w:p>
    <w:p w14:paraId="3530CC42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History</w:t>
      </w:r>
      <w:r>
        <w:rPr>
          <w:rFonts w:hint="eastAsia"/>
          <w:lang w:val="en-US" w:eastAsia="zh-CN"/>
        </w:rPr>
        <w:t>：历史轨迹显示的数量（0-19）。</w:t>
      </w:r>
    </w:p>
    <w:p w14:paraId="5FDACA1D">
      <w:pPr>
        <w:pStyle w:val="4"/>
        <w:bidi w:val="0"/>
        <w:rPr>
          <w:rFonts w:hint="eastAsia"/>
          <w:lang w:val="en-US" w:eastAsia="zh-CN"/>
        </w:rPr>
      </w:pPr>
      <w:bookmarkStart w:id="12" w:name="_② Labels"/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5363210</wp:posOffset>
            </wp:positionH>
            <wp:positionV relativeFrom="paragraph">
              <wp:posOffset>36195</wp:posOffset>
            </wp:positionV>
            <wp:extent cx="624205" cy="2857500"/>
            <wp:effectExtent l="0" t="0" r="4445" b="0"/>
            <wp:wrapSquare wrapText="bothSides"/>
            <wp:docPr id="1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20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②</w:t>
      </w:r>
      <w:r>
        <w:rPr>
          <w:rFonts w:hint="eastAsia"/>
          <w:lang w:val="en-US" w:eastAsia="zh-CN"/>
        </w:rPr>
        <w:t xml:space="preserve"> Labels</w:t>
      </w:r>
    </w:p>
    <w:bookmarkEnd w:id="12"/>
    <w:p w14:paraId="6F7D85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可以打开右图的菜单，配置标签的显示。</w:t>
      </w:r>
    </w:p>
    <w:p w14:paraId="2411BAEC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Ground</w:t>
      </w:r>
    </w:p>
    <w:p w14:paraId="73801736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Stby：切换应答机STBY机组的显示。</w:t>
      </w:r>
    </w:p>
    <w:p w14:paraId="25C1C57E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NoState：切换无状态机组的显示。</w:t>
      </w:r>
    </w:p>
    <w:p w14:paraId="1AFF057F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OnFreq：切换在频率上的状态机组的显示。</w:t>
      </w:r>
    </w:p>
    <w:p w14:paraId="0123C498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Parked：切换落地的停靠状态机组的显示。</w:t>
      </w:r>
    </w:p>
    <w:p w14:paraId="23AF3AFB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PosX：默认机组标牌X轴的偏移（正为向右）。</w:t>
      </w:r>
    </w:p>
    <w:p w14:paraId="24ADE4FA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5365750</wp:posOffset>
            </wp:positionH>
            <wp:positionV relativeFrom="paragraph">
              <wp:posOffset>161925</wp:posOffset>
            </wp:positionV>
            <wp:extent cx="582295" cy="2677795"/>
            <wp:effectExtent l="0" t="0" r="8255" b="8255"/>
            <wp:wrapSquare wrapText="bothSides"/>
            <wp:docPr id="1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29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PosY：默认机组标牌Y轴的偏移（正为向上）。</w:t>
      </w:r>
    </w:p>
    <w:p w14:paraId="304DF5C4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&lt;标签名&gt;：切换机组标牌的标签的显示。</w:t>
      </w:r>
    </w:p>
    <w:p w14:paraId="325C4470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Window</w:t>
      </w:r>
    </w:p>
    <w:p w14:paraId="4E2B7C22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PosX：默认机组标牌X轴的偏移（正为向右）。</w:t>
      </w:r>
    </w:p>
    <w:p w14:paraId="7723CCCA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PosY：默认机组标牌Y轴的偏移（正为向上）。</w:t>
      </w:r>
    </w:p>
    <w:p w14:paraId="4B37BD66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&lt;标签名&gt;：切换机组标牌的标签的显示。</w:t>
      </w:r>
    </w:p>
    <w:p w14:paraId="13C3F3C8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Path Windows</w:t>
      </w:r>
    </w:p>
    <w:p w14:paraId="6B0999C4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PosX：默认机组标牌X轴的偏移（正为向右）。</w:t>
      </w:r>
    </w:p>
    <w:p w14:paraId="32FC2E28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PosY：默认机组标牌Y轴的偏移（正为向上）。</w:t>
      </w:r>
    </w:p>
    <w:p w14:paraId="12B40B23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5334635</wp:posOffset>
            </wp:positionH>
            <wp:positionV relativeFrom="paragraph">
              <wp:posOffset>353695</wp:posOffset>
            </wp:positionV>
            <wp:extent cx="582295" cy="2677795"/>
            <wp:effectExtent l="0" t="0" r="8255" b="8255"/>
            <wp:wrapSquare wrapText="bothSides"/>
            <wp:docPr id="1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29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&lt;标签名&gt;：切换机组标牌的标签的显示。</w:t>
      </w:r>
    </w:p>
    <w:p w14:paraId="51CEC426"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③</w:t>
      </w:r>
      <w:r>
        <w:rPr>
          <w:rFonts w:hint="eastAsia"/>
          <w:lang w:val="en-US" w:eastAsia="zh-CN"/>
        </w:rPr>
        <w:t>Lists</w:t>
      </w:r>
    </w:p>
    <w:p w14:paraId="102FB9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可以打开右图的菜单，配置列表显示的内容。</w:t>
      </w:r>
    </w:p>
    <w:p w14:paraId="4ADFEE5A"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TTT</w:t>
      </w:r>
    </w:p>
    <w:p w14:paraId="78924B70"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&lt;列的名字&gt;：切换该列是否显示。</w:t>
      </w:r>
    </w:p>
    <w:p w14:paraId="4C3A7F03"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 Timer</w:t>
      </w:r>
    </w:p>
    <w:p w14:paraId="795FDAA1"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&lt;列的名字&gt;：切换该列是否显示。</w:t>
      </w:r>
    </w:p>
    <w:p w14:paraId="319FB1FC"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Alerts</w:t>
      </w:r>
    </w:p>
    <w:p w14:paraId="13CFBC0C"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Items：显示机组的最大数量。</w:t>
      </w:r>
    </w:p>
    <w:p w14:paraId="74521449"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</w:t>
      </w:r>
    </w:p>
    <w:p w14:paraId="51391821"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&lt;列的名字&gt;：切换该列是否显示。</w:t>
      </w:r>
    </w:p>
    <w:p w14:paraId="33F7B7E0"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</w:t>
      </w:r>
    </w:p>
    <w:p w14:paraId="33642EBC"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&lt;列的名字&gt;：切换该列是否显示。</w:t>
      </w:r>
    </w:p>
    <w:p w14:paraId="795815A9"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Stands</w:t>
      </w:r>
    </w:p>
    <w:p w14:paraId="78FD984A"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Items：显示机组的最大数量。</w:t>
      </w:r>
    </w:p>
    <w:p w14:paraId="36FC8A27">
      <w:pPr>
        <w:pStyle w:val="4"/>
        <w:bidi w:val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4833620</wp:posOffset>
            </wp:positionH>
            <wp:positionV relativeFrom="paragraph">
              <wp:posOffset>619125</wp:posOffset>
            </wp:positionV>
            <wp:extent cx="1276350" cy="676275"/>
            <wp:effectExtent l="0" t="0" r="0" b="9525"/>
            <wp:wrapSquare wrapText="bothSides"/>
            <wp:docPr id="1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④Raw video</w:t>
      </w:r>
    </w:p>
    <w:p w14:paraId="3DD6D0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可以打开右图的菜单，模拟机组的显示。</w:t>
      </w:r>
    </w:p>
    <w:p w14:paraId="1514C4BE"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Raw Video：切换模拟机组的显示。</w:t>
      </w:r>
    </w:p>
    <w:p w14:paraId="5F20C65C"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Brightness：雷达的亮度（1-100）。</w:t>
      </w:r>
    </w:p>
    <w:p w14:paraId="0FFD61C6"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Afterglow：渐变的速度（0-100）。</w:t>
      </w:r>
    </w:p>
    <w:p w14:paraId="3D3054E8"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History：历史轨迹显示的数量（0-10）。</w:t>
      </w:r>
    </w:p>
    <w:p w14:paraId="72F2A6C2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WINDOWS菜单</w:t>
      </w:r>
    </w:p>
    <w:p w14:paraId="46422221"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4398010</wp:posOffset>
            </wp:positionH>
            <wp:positionV relativeFrom="paragraph">
              <wp:posOffset>382905</wp:posOffset>
            </wp:positionV>
            <wp:extent cx="1409700" cy="1314450"/>
            <wp:effectExtent l="0" t="0" r="0" b="0"/>
            <wp:wrapSquare wrapText="bothSides"/>
            <wp:docPr id="1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打开右图1的菜单，配置打开的窗口、列表。</w:t>
      </w:r>
    </w:p>
    <w:p w14:paraId="2FF318D3"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2nd：打开第二个交通情况显示窗。</w:t>
      </w:r>
    </w:p>
    <w:p w14:paraId="6591E0C7"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APP：打开进近窗口。</w:t>
      </w:r>
    </w:p>
    <w:p w14:paraId="47901872"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Approach Path &gt;：打开对于跑道的下滑道显示窗。</w:t>
      </w:r>
    </w:p>
    <w:p w14:paraId="6ECCF429"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TTT &gt;：打开。</w:t>
      </w:r>
    </w:p>
    <w:p w14:paraId="62164047"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Dep Timer &gt;：打开离场时间列表。</w:t>
      </w:r>
    </w:p>
    <w:p w14:paraId="4257F4B0"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Lists（如右图2）</w:t>
      </w:r>
    </w:p>
    <w:p w14:paraId="0097DAC6">
      <w:pPr>
        <w:numPr>
          <w:ilvl w:val="1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Alerts：打开警告列表。</w:t>
      </w:r>
    </w:p>
    <w:p w14:paraId="5FF51D96">
      <w:pPr>
        <w:numPr>
          <w:ilvl w:val="1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4710430</wp:posOffset>
            </wp:positionH>
            <wp:positionV relativeFrom="paragraph">
              <wp:posOffset>67310</wp:posOffset>
            </wp:positionV>
            <wp:extent cx="1056640" cy="937895"/>
            <wp:effectExtent l="0" t="0" r="10160" b="14605"/>
            <wp:wrapSquare wrapText="bothSides"/>
            <wp:docPr id="1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ARR：打开进场机组列表。</w:t>
      </w:r>
    </w:p>
    <w:p w14:paraId="32871F52">
      <w:pPr>
        <w:numPr>
          <w:ilvl w:val="1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DEP：打开离场机组列表。</w:t>
      </w:r>
    </w:p>
    <w:p w14:paraId="483056E3">
      <w:pPr>
        <w:numPr>
          <w:ilvl w:val="1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Stands：打开机位列表。</w:t>
      </w:r>
    </w:p>
    <w:p w14:paraId="7069C346"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Runway Conf：打开跑道配置窗口。</w:t>
      </w:r>
    </w:p>
    <w:p w14:paraId="073741EC"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RVR：打开跑道视程窗口。</w:t>
      </w:r>
    </w:p>
    <w:p w14:paraId="7599D9D3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FUCTIONS菜单</w:t>
      </w:r>
    </w:p>
    <w:p w14:paraId="40734D8F"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4655185</wp:posOffset>
            </wp:positionH>
            <wp:positionV relativeFrom="paragraph">
              <wp:posOffset>290830</wp:posOffset>
            </wp:positionV>
            <wp:extent cx="1209675" cy="485775"/>
            <wp:effectExtent l="0" t="0" r="9525" b="9525"/>
            <wp:wrapSquare wrapText="bothSides"/>
            <wp:docPr id="1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打开右图3的菜单，使用功能。</w:t>
      </w:r>
    </w:p>
    <w:p w14:paraId="3A13C678"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Flight Plan：输入呼号，打开机组的飞行计划。</w:t>
      </w:r>
    </w:p>
    <w:p w14:paraId="1795A3A5"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 notes</w:t>
      </w:r>
    </w:p>
    <w:p w14:paraId="3A232E5D">
      <w:pPr>
        <w:keepNext w:val="0"/>
        <w:keepLines w:val="0"/>
        <w:widowControl/>
        <w:numPr>
          <w:ilvl w:val="1"/>
          <w:numId w:val="8"/>
        </w:numPr>
        <w:suppressLineNumbers w:val="0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ascii="Calibri" w:hAnsi="Calibri" w:eastAsia="宋体" w:cs="Calibri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Create</w:t>
      </w:r>
      <w:r>
        <w:rPr>
          <w:rFonts w:hint="eastAsia"/>
          <w:lang w:val="en-US" w:eastAsia="zh-CN"/>
        </w:rPr>
        <w:t>：在屏幕上创建绘制指定文本（按下后，鼠标选择到要显示的位置，在输入框中输入要显示的文本，最后按下[Enter]）。</w:t>
      </w:r>
    </w:p>
    <w:p w14:paraId="76691CB4">
      <w:pPr>
        <w:keepNext w:val="0"/>
        <w:keepLines w:val="0"/>
        <w:widowControl/>
        <w:numPr>
          <w:ilvl w:val="1"/>
          <w:numId w:val="8"/>
        </w:numPr>
        <w:suppressLineNumbers w:val="0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Delete：删除绘制的文本（选择要被删除的文本，[ESC]可以取消选择）。</w:t>
      </w:r>
    </w:p>
    <w:p w14:paraId="2514F019">
      <w:pPr>
        <w:keepNext w:val="0"/>
        <w:keepLines w:val="0"/>
        <w:widowControl/>
        <w:numPr>
          <w:ilvl w:val="1"/>
          <w:numId w:val="8"/>
        </w:numPr>
        <w:suppressLineNumbers w:val="0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all：删除全部绘制的文本。</w:t>
      </w:r>
    </w:p>
    <w:p w14:paraId="4F40D666">
      <w:pPr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Maps：选择需要显示在GRpluginMaps.txt中配置的绘制的内容。</w:t>
      </w:r>
    </w:p>
    <w:p w14:paraId="388FA1DE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QNH</w:t>
      </w:r>
    </w:p>
    <w:p w14:paraId="61D9818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显示在EuroScope中收到的该机场的QNH值，当QNH改变时，背景颜色将发生改变，左键单击即可确认更改，恢复到正常的背景颜色。</w:t>
      </w:r>
    </w:p>
    <w:p w14:paraId="09D862C4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低能见度状态</w:t>
      </w:r>
    </w:p>
    <w:p w14:paraId="6DCA04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左键点击可以切换“Normal”（正常）和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LVP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（低能见度）状态。这会设置于跑道相关的告警。</w:t>
      </w:r>
    </w:p>
    <w:p w14:paraId="6BB06195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安全提示</w:t>
      </w:r>
    </w:p>
    <w:p w14:paraId="0760B5DA"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&lt;告警类型&gt;：切换告警显示。</w:t>
      </w:r>
    </w:p>
    <w:p w14:paraId="4996C449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当指定告警被禁用时，背景显示为黄色。相关的告警解释见下文。</w:t>
      </w:r>
    </w:p>
    <w:p w14:paraId="053CE516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开发菜单</w:t>
      </w:r>
    </w:p>
    <w:p w14:paraId="70CA91DD"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4421505</wp:posOffset>
            </wp:positionH>
            <wp:positionV relativeFrom="paragraph">
              <wp:posOffset>68580</wp:posOffset>
            </wp:positionV>
            <wp:extent cx="1457325" cy="504825"/>
            <wp:effectExtent l="0" t="0" r="9525" b="9525"/>
            <wp:wrapSquare wrapText="bothSides"/>
            <wp:docPr id="1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左键点击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HITT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，可以打开右图菜单。</w:t>
      </w:r>
    </w:p>
    <w:p w14:paraId="6B60C2BF"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Reload Settings：重新加载设置文件。</w:t>
      </w:r>
    </w:p>
    <w:p w14:paraId="00EE226A"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Reload Data Files：重新加载数据文件（Maps、Stands等）。</w:t>
      </w:r>
    </w:p>
    <w:p w14:paraId="7BF8539D"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  <w:r>
        <w:rPr>
          <w:rFonts w:hint="eastAsia"/>
          <w:lang w:val="en-US" w:eastAsia="zh-CN"/>
        </w:rPr>
        <w:t>Show Airport Data：显示机场的数据。</w:t>
      </w:r>
    </w:p>
    <w:p w14:paraId="20639C67"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目标显示</w:t>
      </w:r>
    </w:p>
    <w:p w14:paraId="01C6EE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在Ground模式下，目标样式和标牌的颜色取决于机组的状态。默认下黄色为进场/本场机组，蓝色为起飞机组，灰色为无关/未知机组。</w:t>
      </w:r>
    </w:p>
    <w:p w14:paraId="4D1D11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当鼠标悬停在全局菜单时，所有的机组和标牌都会被显示，即使机组被过滤掉了。</w:t>
      </w:r>
    </w:p>
    <w:p w14:paraId="5476E4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下面仅介绍非专业模式，即不开启Pro mode，机组的计划默认为全关联状态。</w:t>
      </w:r>
    </w:p>
    <w:p w14:paraId="0ED898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"_② Labels"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5"/>
          <w:rFonts w:hint="eastAsia"/>
          <w:lang w:val="en-US" w:eastAsia="zh-CN"/>
        </w:rPr>
        <w:t>SETTINGS/Labels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下可以调整默认鼠标未移动到机组上标牌显示的内容，下方标牌中灰色为默认不显示的内容。</w:t>
      </w:r>
    </w:p>
    <w:p w14:paraId="72F5ECE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如一整行的内容为空或都为默认不显示的内容，则这行不显示，但*为可能为空的项，标牌的逻辑均为此。</w:t>
      </w:r>
    </w:p>
    <w:p w14:paraId="13BEE15B"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目标样式</w:t>
      </w:r>
    </w:p>
    <w:p w14:paraId="199167D5">
      <w:pPr>
        <w:rPr>
          <w:rFonts w:hint="eastAsia" w:eastAsia="阿里巴巴普惠体 3.0 55 Regular"/>
          <w:lang w:val="en-US" w:eastAsia="zh-CN"/>
        </w:rPr>
      </w:pPr>
      <w:r>
        <w:rPr>
          <w:rFonts w:hint="eastAsia"/>
          <w:lang w:val="en-US" w:eastAsia="zh-CN"/>
        </w:rPr>
        <w:t>一次雷达目标：</w:t>
      </w:r>
      <w:r>
        <w:drawing>
          <wp:inline distT="0" distB="0" distL="114300" distR="114300">
            <wp:extent cx="247650" cy="180975"/>
            <wp:effectExtent l="0" t="0" r="0" b="9525"/>
            <wp:docPr id="1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。</w:t>
      </w:r>
    </w:p>
    <w:p w14:paraId="55E928B9">
      <w:pPr>
        <w:rPr>
          <w:rFonts w:hint="eastAsia" w:eastAsia="阿里巴巴普惠体 3.0 55 Regular"/>
          <w:lang w:eastAsia="zh-CN"/>
        </w:rPr>
      </w:pPr>
      <w:r>
        <w:rPr>
          <w:rFonts w:hint="eastAsia"/>
          <w:lang w:val="en-US" w:eastAsia="zh-CN"/>
        </w:rPr>
        <w:t>二次雷达目标（A/C模式）：</w:t>
      </w:r>
      <w:r>
        <w:drawing>
          <wp:inline distT="0" distB="0" distL="114300" distR="114300">
            <wp:extent cx="209550" cy="228600"/>
            <wp:effectExtent l="0" t="0" r="0" b="0"/>
            <wp:docPr id="1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。</w:t>
      </w:r>
    </w:p>
    <w:p w14:paraId="23CD6D74"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起飞机组标牌（蓝色）</w:t>
      </w:r>
    </w:p>
    <w:p w14:paraId="67FDE2F2">
      <w:r>
        <w:drawing>
          <wp:inline distT="0" distB="0" distL="114300" distR="114300">
            <wp:extent cx="1891665" cy="782955"/>
            <wp:effectExtent l="19050" t="19050" r="32385" b="36195"/>
            <wp:docPr id="14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3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78295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618C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第一行：警告 应答机错误 交流方式。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6CE318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50BA0D4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4058025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4F2DE01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3CB71F9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3BCF0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3882EC0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*警告</w:t>
            </w:r>
          </w:p>
        </w:tc>
        <w:tc>
          <w:tcPr>
            <w:tcW w:w="2132" w:type="dxa"/>
            <w:vAlign w:val="center"/>
          </w:tcPr>
          <w:p w14:paraId="718F3C5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DejaVu Sans Mono" w:hAnsi="DejaVu Sans Mono" w:cs="DejaVu Sans Mono"/>
                <w:highlight w:val="yellow"/>
                <w:lang w:val="en-US" w:eastAsia="zh-CN"/>
              </w:rPr>
              <w:t>NO PUSH CLR</w:t>
            </w:r>
            <w:r>
              <w:rPr>
                <w:rFonts w:hint="eastAsia"/>
                <w:lang w:val="en-US" w:eastAsia="zh-CN"/>
              </w:rPr>
              <w:t>等</w:t>
            </w:r>
          </w:p>
        </w:tc>
        <w:tc>
          <w:tcPr>
            <w:tcW w:w="2132" w:type="dxa"/>
            <w:vAlign w:val="center"/>
          </w:tcPr>
          <w:p w14:paraId="7D81A3F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vAlign w:val="center"/>
          </w:tcPr>
          <w:p w14:paraId="0911BA5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3AEC5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34628CB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lang w:val="en-US" w:eastAsia="zh-CN"/>
              </w:rPr>
              <w:t>*应答机错误</w:t>
            </w:r>
          </w:p>
        </w:tc>
        <w:tc>
          <w:tcPr>
            <w:tcW w:w="2132" w:type="dxa"/>
            <w:vAlign w:val="center"/>
          </w:tcPr>
          <w:p w14:paraId="06399BA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color w:val="auto"/>
                <w:vertAlign w:val="baseline"/>
                <w:lang w:val="en-US" w:eastAsia="zh-CN"/>
              </w:rPr>
              <w:t>0023</w:t>
            </w:r>
          </w:p>
        </w:tc>
        <w:tc>
          <w:tcPr>
            <w:tcW w:w="2132" w:type="dxa"/>
            <w:vAlign w:val="center"/>
          </w:tcPr>
          <w:p w14:paraId="606CB36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vAlign w:val="center"/>
          </w:tcPr>
          <w:p w14:paraId="22BD8F2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0920A2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149D7D3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cs="阿里巴巴普惠体 3.0 55 Regular"/>
                <w:lang w:val="en-US" w:eastAsia="zh-CN"/>
              </w:rPr>
            </w:pPr>
            <w:r>
              <w:rPr>
                <w:rFonts w:hint="eastAsia" w:cs="阿里巴巴普惠体 3.0 55 Regular"/>
                <w:lang w:val="en-US" w:eastAsia="zh-CN"/>
              </w:rPr>
              <w:t>*</w:t>
            </w: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交流方式</w:t>
            </w:r>
          </w:p>
        </w:tc>
        <w:tc>
          <w:tcPr>
            <w:tcW w:w="2132" w:type="dxa"/>
            <w:vAlign w:val="center"/>
          </w:tcPr>
          <w:p w14:paraId="00D1900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color w:val="auto"/>
                <w:vertAlign w:val="baseline"/>
                <w:lang w:val="en-US" w:eastAsia="zh-CN"/>
              </w:rPr>
              <w:t>t/r</w:t>
            </w:r>
          </w:p>
        </w:tc>
        <w:tc>
          <w:tcPr>
            <w:tcW w:w="2132" w:type="dxa"/>
            <w:vAlign w:val="center"/>
          </w:tcPr>
          <w:p w14:paraId="3AEDF2C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选择跑道</w:t>
            </w:r>
          </w:p>
        </w:tc>
        <w:tc>
          <w:tcPr>
            <w:tcW w:w="2132" w:type="dxa"/>
            <w:vAlign w:val="center"/>
          </w:tcPr>
          <w:p w14:paraId="5C8914F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选择STAR</w:t>
            </w:r>
          </w:p>
        </w:tc>
      </w:tr>
    </w:tbl>
    <w:p w14:paraId="490CE7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第二行：呼号 起飞跑道 落地机场。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725852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0E523D1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63628B5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21E1E6B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666DDFB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38704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28D0B45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cs="阿里巴巴普惠体 3.0 55 Regular"/>
                <w:lang w:val="en-US" w:eastAsia="zh-CN"/>
              </w:rPr>
              <w:t>呼号</w:t>
            </w:r>
          </w:p>
        </w:tc>
        <w:tc>
          <w:tcPr>
            <w:tcW w:w="2132" w:type="dxa"/>
            <w:vAlign w:val="center"/>
          </w:tcPr>
          <w:p w14:paraId="451ABC2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CCA222</w:t>
            </w:r>
          </w:p>
        </w:tc>
        <w:tc>
          <w:tcPr>
            <w:tcW w:w="2132" w:type="dxa"/>
            <w:vAlign w:val="center"/>
          </w:tcPr>
          <w:p w14:paraId="718B304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打开呼号菜单</w:t>
            </w:r>
          </w:p>
        </w:tc>
        <w:tc>
          <w:tcPr>
            <w:tcW w:w="2132" w:type="dxa"/>
            <w:vAlign w:val="center"/>
          </w:tcPr>
          <w:p w14:paraId="1B355CA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4FB10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3514C6A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cs="阿里巴巴普惠体 3.0 55 Regular"/>
                <w:lang w:val="en-US" w:eastAsia="zh-CN"/>
              </w:rPr>
            </w:pPr>
            <w:r>
              <w:rPr>
                <w:rFonts w:hint="eastAsia" w:cs="阿里巴巴普惠体 3.0 55 Regular"/>
                <w:lang w:val="en-US" w:eastAsia="zh-CN"/>
              </w:rPr>
              <w:t>起飞跑道</w:t>
            </w:r>
          </w:p>
        </w:tc>
        <w:tc>
          <w:tcPr>
            <w:tcW w:w="2132" w:type="dxa"/>
            <w:vAlign w:val="center"/>
          </w:tcPr>
          <w:p w14:paraId="7C88DE8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01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410E71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26599D1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1B5A9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234D767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cs="阿里巴巴普惠体 3.0 55 Regular"/>
                <w:lang w:val="en-US" w:eastAsia="zh-CN"/>
              </w:rPr>
            </w:pPr>
            <w:r>
              <w:rPr>
                <w:rFonts w:hint="eastAsia" w:cs="阿里巴巴普惠体 3.0 55 Regular"/>
                <w:lang w:val="en-US" w:eastAsia="zh-CN"/>
              </w:rPr>
              <w:t>落地机场</w:t>
            </w:r>
          </w:p>
        </w:tc>
        <w:tc>
          <w:tcPr>
            <w:tcW w:w="2132" w:type="dxa"/>
            <w:vAlign w:val="center"/>
          </w:tcPr>
          <w:p w14:paraId="5EE2ECD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ZSYT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23FBB6E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4783FFF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6077A2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第三行：机型|尾流等级 地速 备忘。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124605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570DC2E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40DFDE8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3B8EA91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4785544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2DFCB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3379035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cs="阿里巴巴普惠体 3.0 55 Regular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机型</w:t>
            </w:r>
          </w:p>
        </w:tc>
        <w:tc>
          <w:tcPr>
            <w:tcW w:w="2132" w:type="dxa"/>
            <w:vAlign w:val="center"/>
          </w:tcPr>
          <w:p w14:paraId="1332066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A320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30C3484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21215C2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732C5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/>
            <w:vAlign w:val="center"/>
          </w:tcPr>
          <w:p w14:paraId="06EE0BB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尾流等级</w:t>
            </w:r>
          </w:p>
        </w:tc>
        <w:tc>
          <w:tcPr>
            <w:tcW w:w="2132" w:type="dxa"/>
            <w:shd w:val="clear"/>
            <w:vAlign w:val="center"/>
          </w:tcPr>
          <w:p w14:paraId="095A035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/M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6C9B3A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44A0FD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3B7868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/>
            <w:vAlign w:val="center"/>
          </w:tcPr>
          <w:p w14:paraId="4BE6CBC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阿里巴巴普惠体 3.0 55 Regular"/>
                <w:lang w:val="en-US" w:eastAsia="zh-CN"/>
              </w:rPr>
              <w:t>地速</w:t>
            </w:r>
          </w:p>
        </w:tc>
        <w:tc>
          <w:tcPr>
            <w:tcW w:w="2132" w:type="dxa"/>
            <w:shd w:val="clear"/>
            <w:vAlign w:val="center"/>
          </w:tcPr>
          <w:p w14:paraId="0008F30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030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B0A9D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D5DC60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26B7F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/>
            <w:vAlign w:val="center"/>
          </w:tcPr>
          <w:p w14:paraId="0E83A36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阿里巴巴普惠体 3.0 55 Regular"/>
                <w:lang w:val="en-US" w:eastAsia="zh-CN"/>
              </w:rPr>
              <w:t>备忘</w:t>
            </w:r>
          </w:p>
        </w:tc>
        <w:tc>
          <w:tcPr>
            <w:tcW w:w="2132" w:type="dxa"/>
            <w:shd w:val="clear"/>
            <w:vAlign w:val="center"/>
          </w:tcPr>
          <w:p w14:paraId="0DC631F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RMK/</w:t>
            </w: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自定义文本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13ED16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修改备忘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18924D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07933313"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落地/本场机组标牌（黄色）</w:t>
      </w:r>
    </w:p>
    <w:p w14:paraId="75EDDAB5">
      <w:pPr>
        <w:rPr>
          <w:rFonts w:hint="eastAsia" w:eastAsia="阿里巴巴普惠体 3.0 55 Regular"/>
          <w:lang w:val="en-US" w:eastAsia="zh-CN"/>
        </w:rPr>
      </w:pPr>
      <w:r>
        <w:drawing>
          <wp:inline distT="0" distB="0" distL="114300" distR="114300">
            <wp:extent cx="1960245" cy="904240"/>
            <wp:effectExtent l="19050" t="19050" r="20955" b="29210"/>
            <wp:docPr id="150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3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9042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34F6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除第二行外，其余显示的标签和功能与起飞机组标牌一致。</w:t>
      </w:r>
    </w:p>
    <w:p w14:paraId="3D1AE0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第二行：呼号 机位。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783119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10B6DC7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34895B1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248E14B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777D319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58D71D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41E2E78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cs="阿里巴巴普惠体 3.0 55 Regular"/>
                <w:lang w:val="en-US" w:eastAsia="zh-CN"/>
              </w:rPr>
              <w:t>呼号</w:t>
            </w:r>
          </w:p>
        </w:tc>
        <w:tc>
          <w:tcPr>
            <w:tcW w:w="2132" w:type="dxa"/>
            <w:vAlign w:val="center"/>
          </w:tcPr>
          <w:p w14:paraId="5C874C9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CCA222</w:t>
            </w:r>
          </w:p>
        </w:tc>
        <w:tc>
          <w:tcPr>
            <w:tcW w:w="2132" w:type="dxa"/>
            <w:vAlign w:val="center"/>
          </w:tcPr>
          <w:p w14:paraId="03172E6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打开呼号菜单</w:t>
            </w:r>
          </w:p>
        </w:tc>
        <w:tc>
          <w:tcPr>
            <w:tcW w:w="2132" w:type="dxa"/>
            <w:vAlign w:val="center"/>
          </w:tcPr>
          <w:p w14:paraId="2FB8A05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6FBD3E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2020D31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cs="阿里巴巴普惠体 3.0 55 Regular"/>
                <w:lang w:val="en-US" w:eastAsia="zh-CN"/>
              </w:rPr>
            </w:pPr>
            <w:r>
              <w:rPr>
                <w:rFonts w:hint="eastAsia" w:cs="阿里巴巴普惠体 3.0 55 Regular"/>
                <w:lang w:val="en-US" w:eastAsia="zh-CN"/>
              </w:rPr>
              <w:t>机位</w:t>
            </w:r>
          </w:p>
        </w:tc>
        <w:tc>
          <w:tcPr>
            <w:tcW w:w="2132" w:type="dxa"/>
            <w:vAlign w:val="center"/>
          </w:tcPr>
          <w:p w14:paraId="42DD369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18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5830484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确认指定的机位/</w:t>
            </w:r>
          </w:p>
          <w:p w14:paraId="6B443E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打开指定机位菜单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59FD104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7142EB93">
      <w:pPr>
        <w:pStyle w:val="3"/>
        <w:numPr>
          <w:ilvl w:val="0"/>
          <w:numId w:val="1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无关机组标牌（灰色）</w:t>
      </w:r>
    </w:p>
    <w:p w14:paraId="49E3B1BC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911350" cy="785495"/>
            <wp:effectExtent l="19050" t="19050" r="31750" b="33655"/>
            <wp:docPr id="151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3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78549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D190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除第二行外，其余显示的标签和功能与起飞机组标牌一致。</w:t>
      </w:r>
    </w:p>
    <w:p w14:paraId="297EFFD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第二行：呼号 起飞机场。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0FA232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6CE50E3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695CA61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26458AA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0147486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3AF28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152BB23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cs="阿里巴巴普惠体 3.0 55 Regular"/>
                <w:lang w:val="en-US" w:eastAsia="zh-CN"/>
              </w:rPr>
              <w:t>呼号</w:t>
            </w:r>
          </w:p>
        </w:tc>
        <w:tc>
          <w:tcPr>
            <w:tcW w:w="2132" w:type="dxa"/>
            <w:vAlign w:val="center"/>
          </w:tcPr>
          <w:p w14:paraId="3F0A61D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CCA222</w:t>
            </w:r>
          </w:p>
        </w:tc>
        <w:tc>
          <w:tcPr>
            <w:tcW w:w="2132" w:type="dxa"/>
            <w:vAlign w:val="center"/>
          </w:tcPr>
          <w:p w14:paraId="5998335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打开呼号菜单</w:t>
            </w:r>
          </w:p>
        </w:tc>
        <w:tc>
          <w:tcPr>
            <w:tcW w:w="2132" w:type="dxa"/>
            <w:vAlign w:val="center"/>
          </w:tcPr>
          <w:p w14:paraId="7A2E056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3F5D1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7860EE8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cs="阿里巴巴普惠体 3.0 55 Regular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起飞机场</w:t>
            </w:r>
          </w:p>
        </w:tc>
        <w:tc>
          <w:tcPr>
            <w:tcW w:w="2132" w:type="dxa"/>
            <w:vAlign w:val="center"/>
          </w:tcPr>
          <w:p w14:paraId="69D0655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ZBAE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B2E19E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3544EF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748C20AF">
      <w:pPr>
        <w:rPr>
          <w:rFonts w:hint="default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</w:p>
    <w:p w14:paraId="0DC62244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 目标菜单</w:t>
      </w:r>
    </w:p>
    <w:p w14:paraId="2F9D0EA4">
      <w:pPr>
        <w:pStyle w:val="3"/>
        <w:numPr>
          <w:ilvl w:val="0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呼号菜单</w:t>
      </w:r>
    </w:p>
    <w:p w14:paraId="49D7216F"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4978400</wp:posOffset>
            </wp:positionH>
            <wp:positionV relativeFrom="paragraph">
              <wp:posOffset>115570</wp:posOffset>
            </wp:positionV>
            <wp:extent cx="723900" cy="1219200"/>
            <wp:effectExtent l="0" t="0" r="0" b="0"/>
            <wp:wrapSquare wrapText="bothSides"/>
            <wp:docPr id="13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灰色的为不可用项。</w:t>
      </w:r>
    </w:p>
    <w:p w14:paraId="3CC1781B"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---/PUSH/...：打开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"_状态菜单"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5"/>
          <w:rFonts w:hint="eastAsia"/>
          <w:lang w:val="en-US" w:eastAsia="zh-CN"/>
        </w:rPr>
        <w:t>状态菜单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 w14:paraId="78451B9F"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Assume：接牌。</w:t>
      </w:r>
    </w:p>
    <w:p w14:paraId="3C838A4D"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 &lt;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席位识别码</w:t>
      </w:r>
      <w:r>
        <w:rPr>
          <w:rFonts w:hint="eastAsia"/>
          <w:lang w:val="en-US" w:eastAsia="zh-CN"/>
        </w:rPr>
        <w:t>&gt;：移交给显示的识别码的席位。</w:t>
      </w:r>
    </w:p>
    <w:p w14:paraId="50158BBC"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Man Trf：移交给指定的识别码的席位。</w:t>
      </w:r>
    </w:p>
    <w:p w14:paraId="7D3423FC"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Free：放牌。</w:t>
      </w:r>
    </w:p>
    <w:p w14:paraId="609C1122"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FPL：打开机组的飞行计划。</w:t>
      </w:r>
    </w:p>
    <w:p w14:paraId="7099A729"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Stand：</w:t>
      </w:r>
      <w:r>
        <w:rPr>
          <w:rFonts w:hint="eastAsia" w:cs="阿里巴巴普惠体 3.0 55 Regular"/>
          <w:vertAlign w:val="baseline"/>
          <w:lang w:val="en-US" w:eastAsia="zh-CN"/>
        </w:rPr>
        <w:t>打开</w:t>
      </w:r>
      <w:r>
        <w:rPr>
          <w:rFonts w:hint="eastAsia" w:cs="阿里巴巴普惠体 3.0 55 Regular"/>
          <w:vertAlign w:val="baseline"/>
          <w:lang w:val="en-US" w:eastAsia="zh-CN"/>
        </w:rPr>
        <w:fldChar w:fldCharType="begin"/>
      </w:r>
      <w:r>
        <w:rPr>
          <w:rFonts w:hint="eastAsia" w:cs="阿里巴巴普惠体 3.0 55 Regular"/>
          <w:vertAlign w:val="baseline"/>
          <w:lang w:val="en-US" w:eastAsia="zh-CN"/>
        </w:rPr>
        <w:instrText xml:space="preserve"> HYPERLINK \l "_指定机位菜单" </w:instrText>
      </w:r>
      <w:r>
        <w:rPr>
          <w:rFonts w:hint="eastAsia" w:cs="阿里巴巴普惠体 3.0 55 Regular"/>
          <w:vertAlign w:val="baseline"/>
          <w:lang w:val="en-US" w:eastAsia="zh-CN"/>
        </w:rPr>
        <w:fldChar w:fldCharType="separate"/>
      </w:r>
      <w:r>
        <w:rPr>
          <w:rStyle w:val="25"/>
          <w:rFonts w:hint="eastAsia" w:cs="阿里巴巴普惠体 3.0 55 Regular"/>
          <w:vertAlign w:val="baseline"/>
          <w:lang w:val="en-US" w:eastAsia="zh-CN"/>
        </w:rPr>
        <w:t>指定机位菜单</w:t>
      </w:r>
      <w:r>
        <w:rPr>
          <w:rFonts w:hint="eastAsia" w:cs="阿里巴巴普惠体 3.0 55 Regular"/>
          <w:vertAlign w:val="baseline"/>
          <w:lang w:val="en-US" w:eastAsia="zh-CN"/>
        </w:rPr>
        <w:fldChar w:fldCharType="end"/>
      </w:r>
      <w:r>
        <w:rPr>
          <w:rFonts w:hint="eastAsia" w:cs="阿里巴巴普惠体 3.0 55 Regular"/>
          <w:vertAlign w:val="baseline"/>
          <w:lang w:val="en-US" w:eastAsia="zh-CN"/>
        </w:rPr>
        <w:t>。</w:t>
      </w:r>
    </w:p>
    <w:p w14:paraId="444E0DA6">
      <w:pPr>
        <w:pStyle w:val="3"/>
        <w:numPr>
          <w:ilvl w:val="0"/>
          <w:numId w:val="13"/>
        </w:numPr>
        <w:bidi w:val="0"/>
        <w:rPr>
          <w:rFonts w:hint="default"/>
          <w:lang w:val="en-US" w:eastAsia="zh-CN"/>
        </w:rPr>
      </w:pPr>
      <w:bookmarkStart w:id="13" w:name="_状态菜单"/>
      <w:r>
        <w:rPr>
          <w:rFonts w:hint="eastAsia"/>
          <w:lang w:val="en-US" w:eastAsia="zh-CN"/>
        </w:rPr>
        <w:t>状态菜单</w:t>
      </w:r>
    </w:p>
    <w:p w14:paraId="59E3529B">
      <w:pPr>
        <w:pStyle w:val="4"/>
        <w:bidi w:val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5067300</wp:posOffset>
            </wp:positionH>
            <wp:positionV relativeFrom="paragraph">
              <wp:posOffset>1270</wp:posOffset>
            </wp:positionV>
            <wp:extent cx="676275" cy="1219200"/>
            <wp:effectExtent l="0" t="0" r="9525" b="0"/>
            <wp:wrapSquare wrapText="bothSides"/>
            <wp:docPr id="13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① 离场机组</w:t>
      </w:r>
    </w:p>
    <w:bookmarkEnd w:id="13"/>
    <w:p w14:paraId="6A766D75"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FREQ：在频率上。</w:t>
      </w:r>
    </w:p>
    <w:p w14:paraId="7FF90EBD"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DEICE：除冰。</w:t>
      </w:r>
    </w:p>
    <w:p w14:paraId="3FD54324"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UP：开车。</w:t>
      </w:r>
    </w:p>
    <w:p w14:paraId="0CDE171F"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PUSH：推出。</w:t>
      </w:r>
    </w:p>
    <w:p w14:paraId="45D5632E"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TAXI：滑行。</w:t>
      </w:r>
    </w:p>
    <w:p w14:paraId="529BBE00"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UP：进跑道等待。</w:t>
      </w:r>
    </w:p>
    <w:p w14:paraId="7BA0DC83"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TAKE OFF：起飞。</w:t>
      </w:r>
    </w:p>
    <w:p w14:paraId="284C1CB8"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空：无状态。</w:t>
      </w:r>
    </w:p>
    <w:p w14:paraId="7A8497B2">
      <w:pPr>
        <w:pStyle w:val="4"/>
        <w:bidi w:val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4773295</wp:posOffset>
            </wp:positionH>
            <wp:positionV relativeFrom="paragraph">
              <wp:posOffset>118110</wp:posOffset>
            </wp:positionV>
            <wp:extent cx="485775" cy="466725"/>
            <wp:effectExtent l="0" t="0" r="9525" b="9525"/>
            <wp:wrapSquare wrapText="bothSides"/>
            <wp:docPr id="14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②</w:t>
      </w:r>
      <w:r>
        <w:rPr>
          <w:rFonts w:hint="eastAsia"/>
          <w:lang w:val="en-US" w:eastAsia="zh-CN"/>
        </w:rPr>
        <w:t xml:space="preserve"> 进场机组</w:t>
      </w:r>
    </w:p>
    <w:p w14:paraId="11D6E766"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TAXI：滑行</w:t>
      </w:r>
    </w:p>
    <w:p w14:paraId="6BADD87C"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PARKED：停靠。</w:t>
      </w:r>
    </w:p>
    <w:p w14:paraId="1521F88F"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空：无状态。</w:t>
      </w:r>
    </w:p>
    <w:p w14:paraId="6CBB200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注：ON FREQ（无）、DEICE（无）、LINE UP（TAXI OUT）、PARKED（TAXI IN）与ES上的状态显示不相同，括号内为ES显示的状态。</w:t>
      </w:r>
    </w:p>
    <w:p w14:paraId="06259F34">
      <w:pPr>
        <w:pStyle w:val="3"/>
        <w:numPr>
          <w:ilvl w:val="0"/>
          <w:numId w:val="13"/>
        </w:numPr>
        <w:bidi w:val="0"/>
        <w:rPr>
          <w:rFonts w:hint="default"/>
          <w:lang w:val="en-US" w:eastAsia="zh-CN"/>
        </w:rPr>
      </w:pPr>
      <w:bookmarkStart w:id="14" w:name="_指定机位菜单"/>
      <w:r>
        <w:rPr>
          <w:rFonts w:hint="eastAsia"/>
          <w:lang w:val="en-US" w:eastAsia="zh-CN"/>
        </w:rPr>
        <w:t>指定机位菜单</w:t>
      </w:r>
    </w:p>
    <w:p w14:paraId="572060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用于分配机组的机位，如果其他管制员接起了指定机组的牌子，该菜单将不会被打开。</w:t>
      </w:r>
    </w:p>
    <w:p w14:paraId="0040DED3">
      <w:pPr>
        <w:numPr>
          <w:ilvl w:val="0"/>
          <w:numId w:val="16"/>
        </w:numPr>
        <w:ind w:left="420" w:leftChars="0" w:hanging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4819650</wp:posOffset>
            </wp:positionH>
            <wp:positionV relativeFrom="paragraph">
              <wp:posOffset>85090</wp:posOffset>
            </wp:positionV>
            <wp:extent cx="685800" cy="647700"/>
            <wp:effectExtent l="0" t="0" r="0" b="0"/>
            <wp:wrapSquare wrapText="bothSides"/>
            <wp:docPr id="14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Auto：自动分配。</w:t>
      </w:r>
    </w:p>
    <w:p w14:paraId="44A7155E">
      <w:pPr>
        <w:numPr>
          <w:ilvl w:val="0"/>
          <w:numId w:val="1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Manual：手动分配（选择需要的机位，或在[ --- ]输入机位名称）。</w:t>
      </w:r>
    </w:p>
    <w:p w14:paraId="6F3E28A9">
      <w:pPr>
        <w:numPr>
          <w:ilvl w:val="0"/>
          <w:numId w:val="1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Publish：向其他管制员发送分配的机位。</w:t>
      </w:r>
    </w:p>
    <w:p w14:paraId="3D769D5A">
      <w:pPr>
        <w:numPr>
          <w:ilvl w:val="0"/>
          <w:numId w:val="1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Clear：清除。</w:t>
      </w:r>
    </w:p>
    <w:p w14:paraId="021FAC64">
      <w:pPr>
        <w:numPr>
          <w:numId w:val="0"/>
        </w:numPr>
        <w:ind w:leftChars="0"/>
        <w:rPr>
          <w:rFonts w:hint="default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</w:p>
    <w:p w14:paraId="25678FA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07 窗口</w:t>
      </w:r>
    </w:p>
    <w:p w14:paraId="0D5D10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在状态栏的位置点击并拖动可以移动窗口的位置，右上角的X可以关闭窗口，右下角可以设置窗口的大小（如有）。</w:t>
      </w:r>
    </w:p>
    <w:p w14:paraId="0464CA81">
      <w:pPr>
        <w:pStyle w:val="3"/>
        <w:numPr>
          <w:ilvl w:val="0"/>
          <w:numId w:val="17"/>
        </w:numPr>
        <w:bidi w:val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3619500</wp:posOffset>
            </wp:positionH>
            <wp:positionV relativeFrom="paragraph">
              <wp:posOffset>594995</wp:posOffset>
            </wp:positionV>
            <wp:extent cx="2413000" cy="1532255"/>
            <wp:effectExtent l="0" t="0" r="6350" b="10795"/>
            <wp:wrapSquare wrapText="bothSides"/>
            <wp:docPr id="14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第二个交通情况显示窗</w:t>
      </w:r>
    </w:p>
    <w:p w14:paraId="57CBBD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该窗口（右图1）可以观察机场情况，方便观察一些大机场中的角落的情况等，但是在不使用Ground Radar进行绘制地面扇下，这几乎什么作用。</w:t>
      </w:r>
    </w:p>
    <w:p w14:paraId="6C6859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移动显示内容的区域可以移动显示的范围，标题栏中的“-”和“+”可以放大缩小显示的区域。</w:t>
      </w:r>
    </w:p>
    <w:p w14:paraId="239472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"_① Display"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5"/>
          <w:rFonts w:hint="eastAsia"/>
          <w:lang w:val="en-US" w:eastAsia="zh-CN"/>
        </w:rPr>
        <w:t>SETTINS/Display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下可以调整旋转角度。</w:t>
      </w:r>
    </w:p>
    <w:p w14:paraId="2218DF2D">
      <w:pPr>
        <w:pStyle w:val="3"/>
        <w:numPr>
          <w:ilvl w:val="0"/>
          <w:numId w:val="17"/>
        </w:numPr>
        <w:bidi w:val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3854450</wp:posOffset>
            </wp:positionH>
            <wp:positionV relativeFrom="paragraph">
              <wp:posOffset>590550</wp:posOffset>
            </wp:positionV>
            <wp:extent cx="2315210" cy="2048510"/>
            <wp:effectExtent l="0" t="0" r="8890" b="8890"/>
            <wp:wrapSquare wrapText="bothSides"/>
            <wp:docPr id="14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进近窗口</w:t>
      </w:r>
    </w:p>
    <w:p w14:paraId="498F66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该窗口（右图2）可以快速查看机场五边的情况。</w:t>
      </w:r>
    </w:p>
    <w:p w14:paraId="330CD7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箭头会指向正北。</w:t>
      </w:r>
    </w:p>
    <w:p w14:paraId="76B149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移动显示内容的区域可以移动显示的范围，但是机场的基准点需要范围内，标题栏中的“-”和“+”可以放大缩小显示的区域。</w:t>
      </w:r>
    </w:p>
    <w:p w14:paraId="544A71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"_① Display"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4"/>
          <w:rFonts w:hint="eastAsia"/>
          <w:lang w:val="en-US" w:eastAsia="zh-CN"/>
        </w:rPr>
        <w:t>SETTINS/Display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下可以调整历史航迹个数、矢量线个数、旋转角度、跑道延长线长度、高度过滤。</w:t>
      </w:r>
    </w:p>
    <w:p w14:paraId="0B677EE5"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①</w:t>
      </w:r>
      <w:r>
        <w:rPr>
          <w:rFonts w:hint="eastAsia"/>
          <w:lang w:val="en-US" w:eastAsia="zh-CN"/>
        </w:rPr>
        <w:t xml:space="preserve"> 离场机组标牌（蓝色）</w:t>
      </w:r>
    </w:p>
    <w:p w14:paraId="05E4A97F">
      <w:r>
        <w:drawing>
          <wp:inline distT="0" distB="0" distL="114300" distR="114300">
            <wp:extent cx="1119505" cy="772160"/>
            <wp:effectExtent l="19050" t="19050" r="23495" b="27940"/>
            <wp:docPr id="15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3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77216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09BB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第一行：警告 应答机错误 交流方式。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689A0B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267EF4C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2B71331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34C4E81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0E31580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39957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2848889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*警告</w:t>
            </w:r>
          </w:p>
        </w:tc>
        <w:tc>
          <w:tcPr>
            <w:tcW w:w="2132" w:type="dxa"/>
            <w:vAlign w:val="center"/>
          </w:tcPr>
          <w:p w14:paraId="13781A5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DejaVu Sans Mono" w:hAnsi="DejaVu Sans Mono" w:cs="DejaVu Sans Mono"/>
                <w:highlight w:val="yellow"/>
                <w:lang w:val="en-US" w:eastAsia="zh-CN"/>
              </w:rPr>
              <w:t>NO PUSH CLR</w:t>
            </w:r>
            <w:r>
              <w:rPr>
                <w:rFonts w:hint="eastAsia"/>
                <w:lang w:val="en-US" w:eastAsia="zh-CN"/>
              </w:rPr>
              <w:t>等</w:t>
            </w:r>
          </w:p>
        </w:tc>
        <w:tc>
          <w:tcPr>
            <w:tcW w:w="2132" w:type="dxa"/>
            <w:vAlign w:val="center"/>
          </w:tcPr>
          <w:p w14:paraId="13ABF18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vAlign w:val="center"/>
          </w:tcPr>
          <w:p w14:paraId="6574861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43BD0D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47D2973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lang w:val="en-US" w:eastAsia="zh-CN"/>
              </w:rPr>
              <w:t>*应答机错误</w:t>
            </w:r>
          </w:p>
        </w:tc>
        <w:tc>
          <w:tcPr>
            <w:tcW w:w="2132" w:type="dxa"/>
            <w:vAlign w:val="center"/>
          </w:tcPr>
          <w:p w14:paraId="1E85789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color w:val="auto"/>
                <w:vertAlign w:val="baseline"/>
                <w:lang w:val="en-US" w:eastAsia="zh-CN"/>
              </w:rPr>
              <w:t>0023</w:t>
            </w:r>
          </w:p>
        </w:tc>
        <w:tc>
          <w:tcPr>
            <w:tcW w:w="2132" w:type="dxa"/>
            <w:vAlign w:val="center"/>
          </w:tcPr>
          <w:p w14:paraId="58830E0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vAlign w:val="center"/>
          </w:tcPr>
          <w:p w14:paraId="6F03D92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382232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26B169F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cs="阿里巴巴普惠体 3.0 55 Regular"/>
                <w:lang w:val="en-US" w:eastAsia="zh-CN"/>
              </w:rPr>
            </w:pPr>
            <w:r>
              <w:rPr>
                <w:rFonts w:hint="eastAsia" w:cs="阿里巴巴普惠体 3.0 55 Regular"/>
                <w:lang w:val="en-US" w:eastAsia="zh-CN"/>
              </w:rPr>
              <w:t>*</w:t>
            </w: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交流方式</w:t>
            </w:r>
          </w:p>
        </w:tc>
        <w:tc>
          <w:tcPr>
            <w:tcW w:w="2132" w:type="dxa"/>
            <w:vAlign w:val="center"/>
          </w:tcPr>
          <w:p w14:paraId="6129436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color w:val="auto"/>
                <w:vertAlign w:val="baseline"/>
                <w:lang w:val="en-US" w:eastAsia="zh-CN"/>
              </w:rPr>
              <w:t>t/r</w:t>
            </w:r>
          </w:p>
        </w:tc>
        <w:tc>
          <w:tcPr>
            <w:tcW w:w="2132" w:type="dxa"/>
            <w:vAlign w:val="center"/>
          </w:tcPr>
          <w:p w14:paraId="5568AD3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选择跑道</w:t>
            </w:r>
          </w:p>
        </w:tc>
        <w:tc>
          <w:tcPr>
            <w:tcW w:w="2132" w:type="dxa"/>
            <w:vAlign w:val="center"/>
          </w:tcPr>
          <w:p w14:paraId="15FEB87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选择STAR</w:t>
            </w:r>
          </w:p>
        </w:tc>
      </w:tr>
    </w:tbl>
    <w:p w14:paraId="399D9B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第二行：呼号 起飞跑道 落地机场。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023DFF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337E226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3B49D12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3D8877B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1B74117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250F4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6CEA873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cs="阿里巴巴普惠体 3.0 55 Regular"/>
                <w:lang w:val="en-US" w:eastAsia="zh-CN"/>
              </w:rPr>
              <w:t>呼号</w:t>
            </w:r>
          </w:p>
        </w:tc>
        <w:tc>
          <w:tcPr>
            <w:tcW w:w="2132" w:type="dxa"/>
            <w:vAlign w:val="center"/>
          </w:tcPr>
          <w:p w14:paraId="2B60550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CCA222</w:t>
            </w:r>
          </w:p>
        </w:tc>
        <w:tc>
          <w:tcPr>
            <w:tcW w:w="2132" w:type="dxa"/>
            <w:vAlign w:val="center"/>
          </w:tcPr>
          <w:p w14:paraId="14A30DE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打开呼号菜单</w:t>
            </w:r>
          </w:p>
        </w:tc>
        <w:tc>
          <w:tcPr>
            <w:tcW w:w="2132" w:type="dxa"/>
            <w:vAlign w:val="center"/>
          </w:tcPr>
          <w:p w14:paraId="1CCAE9D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2504E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4FA19FD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cs="阿里巴巴普惠体 3.0 55 Regular"/>
                <w:lang w:val="en-US" w:eastAsia="zh-CN"/>
              </w:rPr>
            </w:pPr>
            <w:r>
              <w:rPr>
                <w:rFonts w:hint="eastAsia" w:cs="阿里巴巴普惠体 3.0 55 Regular"/>
                <w:lang w:val="en-US" w:eastAsia="zh-CN"/>
              </w:rPr>
              <w:t>起飞跑道</w:t>
            </w:r>
          </w:p>
        </w:tc>
        <w:tc>
          <w:tcPr>
            <w:tcW w:w="2132" w:type="dxa"/>
            <w:vAlign w:val="center"/>
          </w:tcPr>
          <w:p w14:paraId="69A834A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01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54C0414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3A48F7A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48EB03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5299AC9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cs="阿里巴巴普惠体 3.0 55 Regular"/>
                <w:lang w:val="en-US" w:eastAsia="zh-CN"/>
              </w:rPr>
            </w:pPr>
            <w:r>
              <w:rPr>
                <w:rFonts w:hint="eastAsia" w:cs="阿里巴巴普惠体 3.0 55 Regular"/>
                <w:lang w:val="en-US" w:eastAsia="zh-CN"/>
              </w:rPr>
              <w:t>落地机场</w:t>
            </w:r>
          </w:p>
        </w:tc>
        <w:tc>
          <w:tcPr>
            <w:tcW w:w="2132" w:type="dxa"/>
            <w:vAlign w:val="center"/>
          </w:tcPr>
          <w:p w14:paraId="739E45D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ZSYT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3F4494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361E492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144B50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第三行：当前高度 地速。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7BBBF6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23A308D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4462845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4BF09BD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331E778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53CE48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04BDB4E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cs="阿里巴巴普惠体 3.0 55 Regular"/>
                <w:lang w:val="en-US" w:eastAsia="zh-CN"/>
              </w:rPr>
            </w:pPr>
            <w:r>
              <w:rPr>
                <w:rFonts w:hint="eastAsia" w:cs="阿里巴巴普惠体 3.0 55 Regular"/>
                <w:lang w:val="en-US" w:eastAsia="zh-CN"/>
              </w:rPr>
              <w:t>当前高度</w:t>
            </w:r>
          </w:p>
        </w:tc>
        <w:tc>
          <w:tcPr>
            <w:tcW w:w="2132" w:type="dxa"/>
            <w:vAlign w:val="center"/>
          </w:tcPr>
          <w:p w14:paraId="4657CC8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A059（英制）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1BDDC7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5EE4F1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234EBE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auto"/>
            <w:vAlign w:val="center"/>
          </w:tcPr>
          <w:p w14:paraId="688F557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地速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751795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230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3DFD579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6300C9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0066B5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第四行：机型|尾流等级 备忘。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3A3399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4CC18EE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379A23D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22D491C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26876CB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22005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4F540D9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cs="阿里巴巴普惠体 3.0 55 Regular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机型</w:t>
            </w:r>
          </w:p>
        </w:tc>
        <w:tc>
          <w:tcPr>
            <w:tcW w:w="2132" w:type="dxa"/>
            <w:vAlign w:val="center"/>
          </w:tcPr>
          <w:p w14:paraId="7E0DB6E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A320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63B860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488DCC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0F123C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auto"/>
            <w:vAlign w:val="center"/>
          </w:tcPr>
          <w:p w14:paraId="6385B50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尾流等级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3FBE402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/M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4D72AED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EA2510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50B5B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auto"/>
            <w:vAlign w:val="center"/>
          </w:tcPr>
          <w:p w14:paraId="59D0BFF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阿里巴巴普惠体 3.0 55 Regular"/>
                <w:lang w:val="en-US" w:eastAsia="zh-CN"/>
              </w:rPr>
              <w:t>地速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55D415E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030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E9821B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F23AB4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5D3A3D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auto"/>
            <w:vAlign w:val="center"/>
          </w:tcPr>
          <w:p w14:paraId="671B538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阿里巴巴普惠体 3.0 55 Regular"/>
                <w:lang w:val="en-US" w:eastAsia="zh-CN"/>
              </w:rPr>
              <w:t>备忘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2EE6AEA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RMK/</w:t>
            </w: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自定义文本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2D9C4E7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修改备忘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1071B7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56431315"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②</w:t>
      </w:r>
      <w:r>
        <w:rPr>
          <w:rFonts w:hint="eastAsia"/>
          <w:lang w:val="en-US" w:eastAsia="zh-CN"/>
        </w:rPr>
        <w:t xml:space="preserve"> 落地/本场机组标牌（黄色）</w:t>
      </w:r>
    </w:p>
    <w:p w14:paraId="630AF916">
      <w:r>
        <w:drawing>
          <wp:inline distT="0" distB="0" distL="114300" distR="114300">
            <wp:extent cx="1228090" cy="865505"/>
            <wp:effectExtent l="19050" t="19050" r="29210" b="29845"/>
            <wp:docPr id="153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3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86550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6B5D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除第二行外，其余显示的标签和功能与起飞机组标牌一致。</w:t>
      </w:r>
    </w:p>
    <w:p w14:paraId="7F3960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第二行：呼号 落地跑道 机位。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6ACF37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0E4FCB4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6ECC5F7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699677E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21DBDFB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561B4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1CF650D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cs="阿里巴巴普惠体 3.0 55 Regular"/>
                <w:lang w:val="en-US" w:eastAsia="zh-CN"/>
              </w:rPr>
              <w:t>呼号</w:t>
            </w:r>
          </w:p>
        </w:tc>
        <w:tc>
          <w:tcPr>
            <w:tcW w:w="2132" w:type="dxa"/>
            <w:vAlign w:val="center"/>
          </w:tcPr>
          <w:p w14:paraId="1774160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CCA222</w:t>
            </w:r>
          </w:p>
        </w:tc>
        <w:tc>
          <w:tcPr>
            <w:tcW w:w="2132" w:type="dxa"/>
            <w:vAlign w:val="center"/>
          </w:tcPr>
          <w:p w14:paraId="2149122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打开呼号菜单</w:t>
            </w:r>
          </w:p>
        </w:tc>
        <w:tc>
          <w:tcPr>
            <w:tcW w:w="2132" w:type="dxa"/>
            <w:vAlign w:val="center"/>
          </w:tcPr>
          <w:p w14:paraId="099A935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5AB9F9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0B74848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cs="阿里巴巴普惠体 3.0 55 Regular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落地跑道</w:t>
            </w:r>
          </w:p>
        </w:tc>
        <w:tc>
          <w:tcPr>
            <w:tcW w:w="2132" w:type="dxa"/>
            <w:vAlign w:val="center"/>
          </w:tcPr>
          <w:p w14:paraId="4F35BBB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01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235F41C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打开跑道选择菜单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61DCE8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5E608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3A2BCE2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机位</w:t>
            </w:r>
          </w:p>
        </w:tc>
        <w:tc>
          <w:tcPr>
            <w:tcW w:w="2132" w:type="dxa"/>
            <w:vAlign w:val="center"/>
          </w:tcPr>
          <w:p w14:paraId="5B92294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101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618C92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打开机位选择菜单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F2AE26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143F3EDD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</w:t>
      </w:r>
      <w:r>
        <w:rPr>
          <w:rFonts w:hint="eastAsia"/>
          <w:lang w:val="en-US" w:eastAsia="zh-CN"/>
        </w:rPr>
        <w:t xml:space="preserve"> 无关机组标牌（灰色）</w:t>
      </w:r>
    </w:p>
    <w:p w14:paraId="7E08CB21">
      <w:r>
        <w:drawing>
          <wp:inline distT="0" distB="0" distL="114300" distR="114300">
            <wp:extent cx="1315085" cy="930275"/>
            <wp:effectExtent l="19050" t="19050" r="37465" b="22225"/>
            <wp:docPr id="154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3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15085" cy="9302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8A04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第二行：呼号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5AA1C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641EC10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2074C59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21164D4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40E8052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2D991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75F1C27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cs="阿里巴巴普惠体 3.0 55 Regular"/>
                <w:lang w:val="en-US" w:eastAsia="zh-CN"/>
              </w:rPr>
              <w:t>呼号</w:t>
            </w:r>
          </w:p>
        </w:tc>
        <w:tc>
          <w:tcPr>
            <w:tcW w:w="2132" w:type="dxa"/>
            <w:vAlign w:val="center"/>
          </w:tcPr>
          <w:p w14:paraId="77B8E3F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CCA222</w:t>
            </w:r>
          </w:p>
        </w:tc>
        <w:tc>
          <w:tcPr>
            <w:tcW w:w="2132" w:type="dxa"/>
            <w:vAlign w:val="center"/>
          </w:tcPr>
          <w:p w14:paraId="529A398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打开呼号菜单</w:t>
            </w:r>
          </w:p>
        </w:tc>
        <w:tc>
          <w:tcPr>
            <w:tcW w:w="2132" w:type="dxa"/>
            <w:vAlign w:val="center"/>
          </w:tcPr>
          <w:p w14:paraId="2215A11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20A8A72C">
      <w:pPr>
        <w:pStyle w:val="3"/>
        <w:numPr>
          <w:ilvl w:val="0"/>
          <w:numId w:val="17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3503295</wp:posOffset>
            </wp:positionH>
            <wp:positionV relativeFrom="paragraph">
              <wp:posOffset>578485</wp:posOffset>
            </wp:positionV>
            <wp:extent cx="2844800" cy="1516380"/>
            <wp:effectExtent l="0" t="0" r="12700" b="7620"/>
            <wp:wrapSquare wrapText="bothSides"/>
            <wp:docPr id="14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跑道的下滑道显示窗</w:t>
      </w:r>
    </w:p>
    <w:p w14:paraId="21A515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查看下滑道上机组的的水平和垂直视图，距离线以1nm为间隔。</w:t>
      </w:r>
    </w:p>
    <w:p w14:paraId="2DA5905F">
      <w:pPr>
        <w:rPr>
          <w:rFonts w:hint="default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  <w:r>
        <w:rPr>
          <w:rFonts w:hint="eastAsia"/>
          <w:lang w:val="en-US" w:eastAsia="zh-CN"/>
        </w:rPr>
        <w:t>由于该功能不实用，扇区默认未进行配置，因此不进行详细介绍。</w:t>
      </w:r>
    </w:p>
    <w:p w14:paraId="020DF6A7">
      <w:pPr>
        <w:pStyle w:val="2"/>
        <w:bidi w:val="0"/>
        <w:rPr>
          <w:rFonts w:hint="default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  <w:r>
        <w:rPr>
          <w:rFonts w:hint="eastAsia"/>
          <w:lang w:val="en-US" w:eastAsia="zh-CN"/>
        </w:rPr>
        <w:t>08 列表</w:t>
      </w:r>
      <w:bookmarkStart w:id="18" w:name="_GoBack"/>
      <w:bookmarkEnd w:id="18"/>
    </w:p>
    <w:p w14:paraId="3D7827F6">
      <w:pPr>
        <w:pStyle w:val="2"/>
        <w:bidi w:val="0"/>
        <w:rPr>
          <w:rFonts w:hint="eastAsia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  <w:r>
        <w:rPr>
          <w:rFonts w:hint="eastAsia"/>
          <w:lang w:val="en-US" w:eastAsia="zh-CN"/>
        </w:rPr>
        <w:t>09 安全警告</w:t>
      </w:r>
    </w:p>
    <w:p w14:paraId="036A3D7F">
      <w:pPr>
        <w:pStyle w:val="2"/>
        <w:bidi w:val="0"/>
        <w:rPr>
          <w:rFonts w:hint="default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  <w:r>
        <w:rPr>
          <w:rFonts w:hint="eastAsia"/>
          <w:lang w:val="en-US" w:eastAsia="zh-CN"/>
        </w:rPr>
        <w:t>10 标签与功能</w:t>
      </w:r>
    </w:p>
    <w:bookmarkEnd w:id="14"/>
    <w:p w14:paraId="1EF79692">
      <w:pPr>
        <w:pStyle w:val="2"/>
        <w:bidi w:val="0"/>
        <w:rPr>
          <w:rFonts w:hint="eastAsia"/>
          <w:lang w:val="en-US" w:eastAsia="zh-CN"/>
        </w:rPr>
      </w:pPr>
      <w:bookmarkStart w:id="15" w:name="_Toc12188"/>
      <w:r>
        <w:rPr>
          <w:rFonts w:hint="eastAsia"/>
          <w:lang w:val="en-US" w:eastAsia="zh-CN"/>
        </w:rPr>
        <w:t>32 修订记录</w:t>
      </w:r>
      <w:bookmarkEnd w:id="15"/>
    </w:p>
    <w:tbl>
      <w:tblPr>
        <w:tblStyle w:val="21"/>
        <w:tblW w:w="0" w:type="auto"/>
        <w:tblInd w:w="0" w:type="dxa"/>
        <w:tblBorders>
          <w:top w:val="single" w:color="auto" w:sz="1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 w14:paraId="36525AC3">
        <w:tblPrEx>
          <w:tblBorders>
            <w:top w:val="single" w:color="auto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10C3C35D">
            <w:pPr>
              <w:bidi w:val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6"/>
                <w:szCs w:val="16"/>
                <w:vertAlign w:val="baseline"/>
                <w:lang w:val="en-US" w:eastAsia="zh-CN"/>
              </w:rPr>
              <w:t>修订时间</w:t>
            </w:r>
          </w:p>
        </w:tc>
        <w:tc>
          <w:tcPr>
            <w:tcW w:w="284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32BE2C18">
            <w:pPr>
              <w:bidi w:val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6"/>
                <w:szCs w:val="16"/>
                <w:vertAlign w:val="baseline"/>
                <w:lang w:val="en-US" w:eastAsia="zh-CN"/>
              </w:rPr>
              <w:t>修订内容</w:t>
            </w:r>
          </w:p>
        </w:tc>
        <w:tc>
          <w:tcPr>
            <w:tcW w:w="284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7B3E7877">
            <w:pPr>
              <w:bidi w:val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6"/>
                <w:szCs w:val="16"/>
                <w:vertAlign w:val="baseline"/>
                <w:lang w:val="en-US" w:eastAsia="zh-CN"/>
              </w:rPr>
              <w:t>主要作者</w:t>
            </w:r>
          </w:p>
        </w:tc>
      </w:tr>
      <w:tr w14:paraId="44F70EA1">
        <w:tblPrEx>
          <w:tblBorders>
            <w:top w:val="single" w:color="auto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top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02125054">
            <w:pPr>
              <w:bidi w:val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8"/>
                <w:szCs w:val="18"/>
                <w:vertAlign w:val="baseline"/>
                <w:lang w:val="en-US" w:eastAsia="zh-CN"/>
              </w:rPr>
              <w:t>2025.02.08</w:t>
            </w:r>
          </w:p>
        </w:tc>
        <w:tc>
          <w:tcPr>
            <w:tcW w:w="2843" w:type="dxa"/>
            <w:tcBorders>
              <w:top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267926B1">
            <w:pPr>
              <w:bidi w:val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8"/>
                <w:szCs w:val="18"/>
                <w:vertAlign w:val="baseline"/>
                <w:lang w:val="en-US" w:eastAsia="zh-CN"/>
              </w:rPr>
              <w:t>V1.0初稿</w:t>
            </w:r>
          </w:p>
        </w:tc>
        <w:tc>
          <w:tcPr>
            <w:tcW w:w="2843" w:type="dxa"/>
            <w:tcBorders>
              <w:top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0B3C47E2">
            <w:pPr>
              <w:bidi w:val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sz w:val="18"/>
                <w:szCs w:val="18"/>
                <w:vertAlign w:val="baseline"/>
                <w:lang w:val="en-US" w:eastAsia="zh-CN"/>
              </w:rPr>
              <w:t>.X</w:t>
            </w: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8"/>
                <w:szCs w:val="18"/>
                <w:vertAlign w:val="baseline"/>
                <w:lang w:val="en-US" w:eastAsia="zh-CN"/>
              </w:rPr>
              <w:t>、1436001938</w:t>
            </w:r>
          </w:p>
        </w:tc>
      </w:tr>
    </w:tbl>
    <w:p w14:paraId="1960DB37">
      <w:pPr>
        <w:rPr>
          <w:rFonts w:hint="default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</w:p>
    <w:p w14:paraId="7A8677B9">
      <w:pPr>
        <w:pStyle w:val="3"/>
        <w:outlineLvl w:val="0"/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bookmarkStart w:id="16" w:name="_Toc10248"/>
      <w:bookmarkStart w:id="17" w:name="_Toc12754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32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t xml:space="preserve"> 结语</w:t>
      </w:r>
      <w:bookmarkEnd w:id="16"/>
      <w:bookmarkEnd w:id="17"/>
    </w:p>
    <w:p w14:paraId="128D8AF9">
      <w:pPr>
        <w:pStyle w:val="4"/>
        <w:numPr>
          <w:ilvl w:val="0"/>
          <w:numId w:val="18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参考文献</w:t>
      </w:r>
    </w:p>
    <w:p w14:paraId="5B8A856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EuroScope在线文档：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"https://www.euroscope.hu/wp/documentation-about-euroscope/"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Documentation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 w14:paraId="772B5CF8">
      <w:pPr>
        <w:pStyle w:val="4"/>
        <w:numPr>
          <w:ilvl w:val="0"/>
          <w:numId w:val="18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引用声明</w:t>
      </w:r>
    </w:p>
    <w:p w14:paraId="055DCB42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本文章中的</w:t>
      </w:r>
      <w:r>
        <w:rPr>
          <w:rFonts w:hint="eastAsia" w:cs="阿里巴巴普惠体 3.0 55 Regular"/>
          <w:lang w:val="en-US" w:eastAsia="zh-CN"/>
        </w:rPr>
        <w:t>图1、图2、图3、图4、图5、图6、图7、图8、图9、图10、图11、图12、图13、图14、图15、图16、图17、图18、图19、图20、图21、图22、图23、图24均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引用</w:t>
      </w:r>
      <w:r>
        <w:rPr>
          <w:rFonts w:hint="eastAsia" w:cs="阿里巴巴普惠体 3.0 55 Regular"/>
          <w:lang w:val="en-US" w:eastAsia="zh-CN"/>
        </w:rPr>
        <w:t>于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"https://www.euroscope.hu/wp/documentation-about-euroscope/"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Documentation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30E54BD7">
      <w:pPr>
        <w:pStyle w:val="4"/>
        <w:numPr>
          <w:ilvl w:val="0"/>
          <w:numId w:val="18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寄语</w:t>
      </w:r>
    </w:p>
    <w:p w14:paraId="73326F51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希望管制顺利，雷达永远不红框！</w:t>
      </w:r>
    </w:p>
    <w:sectPr>
      <w:pgSz w:w="11906" w:h="16838"/>
      <w:pgMar w:top="1440" w:right="1797" w:bottom="1440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阿里巴巴普惠体 3.0 55 Regular">
    <w:panose1 w:val="00020600040101010101"/>
    <w:charset w:val="86"/>
    <w:family w:val="roman"/>
    <w:pitch w:val="default"/>
    <w:sig w:usb0="A00002FF" w:usb1="7ACF7CFB" w:usb2="0000001E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EuroScope">
    <w:panose1 w:val="00000000000000000000"/>
    <w:charset w:val="80"/>
    <w:family w:val="auto"/>
    <w:pitch w:val="default"/>
    <w:sig w:usb0="E60026FF" w:usb1="FACFF9FB" w:usb2="0200003E" w:usb3="00000000" w:csb0="600201DF" w:csb1="F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jaVu Sans Mono">
    <w:panose1 w:val="020B0609030804020204"/>
    <w:charset w:val="00"/>
    <w:family w:val="auto"/>
    <w:pitch w:val="default"/>
    <w:sig w:usb0="E60026FF" w:usb1="1200F8FB" w:usb2="00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9083682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 w14:paraId="798923FF">
            <w:pPr>
              <w:pStyle w:val="1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428355">
    <w:pPr>
      <w:pStyle w:val="13"/>
      <w:jc w:val="center"/>
      <w:rPr>
        <w:rFonts w:hint="default" w:eastAsia="阿里巴巴普惠体 3.0 55 Regular"/>
        <w:vanish/>
        <w:lang w:val="en-US" w:eastAsia="zh-CN"/>
      </w:rPr>
    </w:pPr>
    <w:r>
      <w:rPr>
        <w:rFonts w:hint="eastAsia"/>
        <w:color w:val="AEAEAE" w:themeColor="background2" w:themeShade="BF"/>
        <w:sz w:val="22"/>
        <w:szCs w:val="22"/>
        <w:lang w:val="en-US" w:eastAsia="zh-CN"/>
      </w:rPr>
      <w:t>Powered by Flyatcsim Sector StudiFor Flyatcsim Sector tutorials</w:t>
    </w:r>
    <w:r>
      <w:rPr>
        <w:rFonts w:hint="eastAsia"/>
        <w:vanish/>
        <w:lang w:val="en-US" w:eastAsia="zh-CN"/>
      </w:rPr>
      <w:t>123123123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F732A2"/>
    <w:multiLevelType w:val="singleLevel"/>
    <w:tmpl w:val="92F732A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5228DD2"/>
    <w:multiLevelType w:val="singleLevel"/>
    <w:tmpl w:val="95228DD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BA4E52B"/>
    <w:multiLevelType w:val="singleLevel"/>
    <w:tmpl w:val="9BA4E5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9FAAECEB"/>
    <w:multiLevelType w:val="singleLevel"/>
    <w:tmpl w:val="9FAAECEB"/>
    <w:lvl w:ilvl="0" w:tentative="0">
      <w:start w:val="1"/>
      <w:numFmt w:val="decimal"/>
      <w:suff w:val="space"/>
      <w:lvlText w:val="（%1）"/>
      <w:lvlJc w:val="left"/>
    </w:lvl>
  </w:abstractNum>
  <w:abstractNum w:abstractNumId="4">
    <w:nsid w:val="A1B51693"/>
    <w:multiLevelType w:val="singleLevel"/>
    <w:tmpl w:val="A1B516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CA816285"/>
    <w:multiLevelType w:val="singleLevel"/>
    <w:tmpl w:val="CA816285"/>
    <w:lvl w:ilvl="0" w:tentative="0">
      <w:start w:val="1"/>
      <w:numFmt w:val="decimal"/>
      <w:suff w:val="space"/>
      <w:lvlText w:val="（%1）"/>
      <w:lvlJc w:val="left"/>
    </w:lvl>
  </w:abstractNum>
  <w:abstractNum w:abstractNumId="6">
    <w:nsid w:val="CCB86FCF"/>
    <w:multiLevelType w:val="singleLevel"/>
    <w:tmpl w:val="CCB86FC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D8D4DB2D"/>
    <w:multiLevelType w:val="multilevel"/>
    <w:tmpl w:val="D8D4DB2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0474B74F"/>
    <w:multiLevelType w:val="singleLevel"/>
    <w:tmpl w:val="0474B74F"/>
    <w:lvl w:ilvl="0" w:tentative="0">
      <w:start w:val="1"/>
      <w:numFmt w:val="decimal"/>
      <w:suff w:val="space"/>
      <w:lvlText w:val="（%1）"/>
      <w:lvlJc w:val="left"/>
    </w:lvl>
  </w:abstractNum>
  <w:abstractNum w:abstractNumId="9">
    <w:nsid w:val="14D836B8"/>
    <w:multiLevelType w:val="multilevel"/>
    <w:tmpl w:val="14D836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19FE28E1"/>
    <w:multiLevelType w:val="multilevel"/>
    <w:tmpl w:val="19FE28E1"/>
    <w:lvl w:ilvl="0" w:tentative="0">
      <w:start w:val="1"/>
      <w:numFmt w:val="bullet"/>
      <w:lvlText w:val=""/>
      <w:lvlJc w:val="left"/>
      <w:pPr>
        <w:tabs>
          <w:tab w:val="left" w:pos="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24CEF48F"/>
    <w:multiLevelType w:val="singleLevel"/>
    <w:tmpl w:val="24CEF48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39E951EE"/>
    <w:multiLevelType w:val="multilevel"/>
    <w:tmpl w:val="39E951E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58CE56AE"/>
    <w:multiLevelType w:val="multilevel"/>
    <w:tmpl w:val="58CE56A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5E90D73F"/>
    <w:multiLevelType w:val="singleLevel"/>
    <w:tmpl w:val="5E90D73F"/>
    <w:lvl w:ilvl="0" w:tentative="0">
      <w:start w:val="1"/>
      <w:numFmt w:val="decimal"/>
      <w:suff w:val="space"/>
      <w:lvlText w:val="（%1）"/>
      <w:lvlJc w:val="left"/>
    </w:lvl>
  </w:abstractNum>
  <w:abstractNum w:abstractNumId="15">
    <w:nsid w:val="5EA22B8B"/>
    <w:multiLevelType w:val="singleLevel"/>
    <w:tmpl w:val="5EA22B8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5F96C058"/>
    <w:multiLevelType w:val="singleLevel"/>
    <w:tmpl w:val="5F96C058"/>
    <w:lvl w:ilvl="0" w:tentative="0">
      <w:start w:val="1"/>
      <w:numFmt w:val="decimal"/>
      <w:suff w:val="space"/>
      <w:lvlText w:val="（%1）"/>
      <w:lvlJc w:val="left"/>
    </w:lvl>
  </w:abstractNum>
  <w:abstractNum w:abstractNumId="17">
    <w:nsid w:val="7EB9FB6D"/>
    <w:multiLevelType w:val="multilevel"/>
    <w:tmpl w:val="7EB9FB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12"/>
  </w:num>
  <w:num w:numId="5">
    <w:abstractNumId w:val="10"/>
  </w:num>
  <w:num w:numId="6">
    <w:abstractNumId w:val="6"/>
  </w:num>
  <w:num w:numId="7">
    <w:abstractNumId w:val="17"/>
  </w:num>
  <w:num w:numId="8">
    <w:abstractNumId w:val="9"/>
  </w:num>
  <w:num w:numId="9">
    <w:abstractNumId w:val="4"/>
  </w:num>
  <w:num w:numId="10">
    <w:abstractNumId w:val="11"/>
  </w:num>
  <w:num w:numId="11">
    <w:abstractNumId w:val="2"/>
  </w:num>
  <w:num w:numId="12">
    <w:abstractNumId w:val="16"/>
  </w:num>
  <w:num w:numId="13">
    <w:abstractNumId w:val="3"/>
  </w:num>
  <w:num w:numId="14">
    <w:abstractNumId w:val="15"/>
  </w:num>
  <w:num w:numId="15">
    <w:abstractNumId w:val="0"/>
  </w:num>
  <w:num w:numId="16">
    <w:abstractNumId w:val="1"/>
  </w:num>
  <w:num w:numId="17">
    <w:abstractNumId w:val="1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B72"/>
    <w:rsid w:val="00051708"/>
    <w:rsid w:val="00053115"/>
    <w:rsid w:val="00073EA6"/>
    <w:rsid w:val="001570FF"/>
    <w:rsid w:val="00170293"/>
    <w:rsid w:val="001A225B"/>
    <w:rsid w:val="001D56CD"/>
    <w:rsid w:val="002370F0"/>
    <w:rsid w:val="002A46DA"/>
    <w:rsid w:val="00334BC6"/>
    <w:rsid w:val="003B38A6"/>
    <w:rsid w:val="003C4E9A"/>
    <w:rsid w:val="003E6056"/>
    <w:rsid w:val="00407A79"/>
    <w:rsid w:val="004812C4"/>
    <w:rsid w:val="004833BA"/>
    <w:rsid w:val="005108FF"/>
    <w:rsid w:val="00525938"/>
    <w:rsid w:val="005A4CF0"/>
    <w:rsid w:val="005F2964"/>
    <w:rsid w:val="0063447A"/>
    <w:rsid w:val="00653E95"/>
    <w:rsid w:val="00675357"/>
    <w:rsid w:val="00692206"/>
    <w:rsid w:val="006D4C8C"/>
    <w:rsid w:val="00715559"/>
    <w:rsid w:val="00737A3A"/>
    <w:rsid w:val="007E59FF"/>
    <w:rsid w:val="00865542"/>
    <w:rsid w:val="00871118"/>
    <w:rsid w:val="00892CFC"/>
    <w:rsid w:val="008C2280"/>
    <w:rsid w:val="008C7182"/>
    <w:rsid w:val="009442F2"/>
    <w:rsid w:val="009A0E47"/>
    <w:rsid w:val="009A7AA8"/>
    <w:rsid w:val="00A65B28"/>
    <w:rsid w:val="00A8770F"/>
    <w:rsid w:val="00AE4FA8"/>
    <w:rsid w:val="00B445BD"/>
    <w:rsid w:val="00B76707"/>
    <w:rsid w:val="00C34D5C"/>
    <w:rsid w:val="00C44869"/>
    <w:rsid w:val="00CC0E82"/>
    <w:rsid w:val="00CE0E21"/>
    <w:rsid w:val="00CE3ACA"/>
    <w:rsid w:val="00D336DD"/>
    <w:rsid w:val="00D82AF0"/>
    <w:rsid w:val="00E139F0"/>
    <w:rsid w:val="00EA2B72"/>
    <w:rsid w:val="00EB400A"/>
    <w:rsid w:val="00F4433A"/>
    <w:rsid w:val="00F4551B"/>
    <w:rsid w:val="00F4778D"/>
    <w:rsid w:val="00FE5770"/>
    <w:rsid w:val="01836D6B"/>
    <w:rsid w:val="01981D96"/>
    <w:rsid w:val="02BD0F46"/>
    <w:rsid w:val="02BE582C"/>
    <w:rsid w:val="02CE1353"/>
    <w:rsid w:val="041D3159"/>
    <w:rsid w:val="04453840"/>
    <w:rsid w:val="047A2CE2"/>
    <w:rsid w:val="04C335CE"/>
    <w:rsid w:val="055E50A5"/>
    <w:rsid w:val="05C13B21"/>
    <w:rsid w:val="05EC7DF4"/>
    <w:rsid w:val="05F13793"/>
    <w:rsid w:val="06E72829"/>
    <w:rsid w:val="075D792E"/>
    <w:rsid w:val="076A21A8"/>
    <w:rsid w:val="077542B8"/>
    <w:rsid w:val="08DC5F6C"/>
    <w:rsid w:val="08E81045"/>
    <w:rsid w:val="08EE0C4C"/>
    <w:rsid w:val="0915392C"/>
    <w:rsid w:val="0A17164E"/>
    <w:rsid w:val="0A4958A2"/>
    <w:rsid w:val="0B14282C"/>
    <w:rsid w:val="0D413097"/>
    <w:rsid w:val="0DF91E0E"/>
    <w:rsid w:val="0E1047A5"/>
    <w:rsid w:val="0F526611"/>
    <w:rsid w:val="0FAB77CF"/>
    <w:rsid w:val="103B60FE"/>
    <w:rsid w:val="10780E3B"/>
    <w:rsid w:val="10972091"/>
    <w:rsid w:val="115B06EA"/>
    <w:rsid w:val="1179107E"/>
    <w:rsid w:val="12AC3341"/>
    <w:rsid w:val="12B31A83"/>
    <w:rsid w:val="14437E7E"/>
    <w:rsid w:val="16C71407"/>
    <w:rsid w:val="17546308"/>
    <w:rsid w:val="176B15B5"/>
    <w:rsid w:val="17860022"/>
    <w:rsid w:val="179C6865"/>
    <w:rsid w:val="17CD3D2B"/>
    <w:rsid w:val="182B5353"/>
    <w:rsid w:val="19047C2F"/>
    <w:rsid w:val="19260805"/>
    <w:rsid w:val="19524AC9"/>
    <w:rsid w:val="1A755244"/>
    <w:rsid w:val="1B3C1444"/>
    <w:rsid w:val="1C8A0940"/>
    <w:rsid w:val="1CFA4D39"/>
    <w:rsid w:val="1D182E07"/>
    <w:rsid w:val="1E684144"/>
    <w:rsid w:val="1E895D22"/>
    <w:rsid w:val="1E9C37D7"/>
    <w:rsid w:val="1F2C3D73"/>
    <w:rsid w:val="1F3C2CC6"/>
    <w:rsid w:val="209C5B03"/>
    <w:rsid w:val="221B4F5C"/>
    <w:rsid w:val="22906CA7"/>
    <w:rsid w:val="22BB11CF"/>
    <w:rsid w:val="23A86E78"/>
    <w:rsid w:val="24056CC6"/>
    <w:rsid w:val="2418072C"/>
    <w:rsid w:val="242102A8"/>
    <w:rsid w:val="2613791A"/>
    <w:rsid w:val="28101003"/>
    <w:rsid w:val="285D1AC4"/>
    <w:rsid w:val="29400E7C"/>
    <w:rsid w:val="2AAF3B29"/>
    <w:rsid w:val="2B1727EA"/>
    <w:rsid w:val="2B89387C"/>
    <w:rsid w:val="2BAC5D42"/>
    <w:rsid w:val="2C10541E"/>
    <w:rsid w:val="2CD33692"/>
    <w:rsid w:val="2CEC12AF"/>
    <w:rsid w:val="2CEC4B79"/>
    <w:rsid w:val="2CF04554"/>
    <w:rsid w:val="2D3C33FD"/>
    <w:rsid w:val="2D4116A3"/>
    <w:rsid w:val="2D9D01BA"/>
    <w:rsid w:val="2D9E587C"/>
    <w:rsid w:val="2E7868FA"/>
    <w:rsid w:val="2E9131AD"/>
    <w:rsid w:val="2EB6422E"/>
    <w:rsid w:val="2EFF4953"/>
    <w:rsid w:val="2F067A44"/>
    <w:rsid w:val="2F72420F"/>
    <w:rsid w:val="2F807EF1"/>
    <w:rsid w:val="2FFB645A"/>
    <w:rsid w:val="30317200"/>
    <w:rsid w:val="30321829"/>
    <w:rsid w:val="30E830D2"/>
    <w:rsid w:val="31B42851"/>
    <w:rsid w:val="32026C34"/>
    <w:rsid w:val="32A24C0B"/>
    <w:rsid w:val="32BB6B23"/>
    <w:rsid w:val="32DE4D76"/>
    <w:rsid w:val="33E505BB"/>
    <w:rsid w:val="33FF27C2"/>
    <w:rsid w:val="34390907"/>
    <w:rsid w:val="349C045E"/>
    <w:rsid w:val="34BD50C3"/>
    <w:rsid w:val="351F7FEA"/>
    <w:rsid w:val="35351C33"/>
    <w:rsid w:val="355102F6"/>
    <w:rsid w:val="355377A7"/>
    <w:rsid w:val="357C36EF"/>
    <w:rsid w:val="357F6559"/>
    <w:rsid w:val="358E3F5F"/>
    <w:rsid w:val="35E45964"/>
    <w:rsid w:val="35FB3606"/>
    <w:rsid w:val="3697789A"/>
    <w:rsid w:val="36DA13C8"/>
    <w:rsid w:val="36F00A63"/>
    <w:rsid w:val="38AB2FCD"/>
    <w:rsid w:val="399979D6"/>
    <w:rsid w:val="3A1A4F93"/>
    <w:rsid w:val="3B64626A"/>
    <w:rsid w:val="3B65020D"/>
    <w:rsid w:val="3B676CEC"/>
    <w:rsid w:val="3BEA40C7"/>
    <w:rsid w:val="3BFC1994"/>
    <w:rsid w:val="3C59646C"/>
    <w:rsid w:val="3CD12C2F"/>
    <w:rsid w:val="3D6A7D83"/>
    <w:rsid w:val="3DA074F9"/>
    <w:rsid w:val="3DB31DA3"/>
    <w:rsid w:val="3DF344FF"/>
    <w:rsid w:val="3DF51241"/>
    <w:rsid w:val="3E2244DE"/>
    <w:rsid w:val="3EA5097B"/>
    <w:rsid w:val="3F073ADC"/>
    <w:rsid w:val="3F20384B"/>
    <w:rsid w:val="3F23643C"/>
    <w:rsid w:val="3FE87C70"/>
    <w:rsid w:val="405F48F5"/>
    <w:rsid w:val="40756534"/>
    <w:rsid w:val="40825E20"/>
    <w:rsid w:val="40980048"/>
    <w:rsid w:val="419961D9"/>
    <w:rsid w:val="41C50097"/>
    <w:rsid w:val="41E60D3B"/>
    <w:rsid w:val="42BE4AED"/>
    <w:rsid w:val="43022FEE"/>
    <w:rsid w:val="43813FC6"/>
    <w:rsid w:val="43FC3972"/>
    <w:rsid w:val="44381438"/>
    <w:rsid w:val="44C55B5C"/>
    <w:rsid w:val="45991206"/>
    <w:rsid w:val="45A12163"/>
    <w:rsid w:val="46911CFA"/>
    <w:rsid w:val="46D05765"/>
    <w:rsid w:val="471522D0"/>
    <w:rsid w:val="47434751"/>
    <w:rsid w:val="47525EAF"/>
    <w:rsid w:val="475743E1"/>
    <w:rsid w:val="48063217"/>
    <w:rsid w:val="486E11A8"/>
    <w:rsid w:val="489666CA"/>
    <w:rsid w:val="493877A7"/>
    <w:rsid w:val="494E5725"/>
    <w:rsid w:val="49E7732E"/>
    <w:rsid w:val="4AE804D7"/>
    <w:rsid w:val="4AF33607"/>
    <w:rsid w:val="4B2E5A87"/>
    <w:rsid w:val="4B4A7197"/>
    <w:rsid w:val="4B904A12"/>
    <w:rsid w:val="4CDE79E0"/>
    <w:rsid w:val="4DEC7BF8"/>
    <w:rsid w:val="4E1974B2"/>
    <w:rsid w:val="4EA56E23"/>
    <w:rsid w:val="4EE334F2"/>
    <w:rsid w:val="4F573974"/>
    <w:rsid w:val="4FE54BFF"/>
    <w:rsid w:val="50440F87"/>
    <w:rsid w:val="51246D13"/>
    <w:rsid w:val="52041CB9"/>
    <w:rsid w:val="525E49D2"/>
    <w:rsid w:val="533F0B2B"/>
    <w:rsid w:val="539574B0"/>
    <w:rsid w:val="53DC06DE"/>
    <w:rsid w:val="54181E8F"/>
    <w:rsid w:val="54362173"/>
    <w:rsid w:val="54DC6BBB"/>
    <w:rsid w:val="54F50399"/>
    <w:rsid w:val="55043A3D"/>
    <w:rsid w:val="550541C2"/>
    <w:rsid w:val="550B4635"/>
    <w:rsid w:val="567E2150"/>
    <w:rsid w:val="56F07E72"/>
    <w:rsid w:val="57060864"/>
    <w:rsid w:val="57B813CA"/>
    <w:rsid w:val="57C937CE"/>
    <w:rsid w:val="582B7713"/>
    <w:rsid w:val="583F2760"/>
    <w:rsid w:val="59196F49"/>
    <w:rsid w:val="593B4656"/>
    <w:rsid w:val="59526E2B"/>
    <w:rsid w:val="59EF0357"/>
    <w:rsid w:val="5B157F21"/>
    <w:rsid w:val="5B255A9F"/>
    <w:rsid w:val="5C20148A"/>
    <w:rsid w:val="5C712B35"/>
    <w:rsid w:val="5D5C6570"/>
    <w:rsid w:val="5D5F53DE"/>
    <w:rsid w:val="5D603F40"/>
    <w:rsid w:val="5E9401F8"/>
    <w:rsid w:val="5EB938F1"/>
    <w:rsid w:val="5ECF718B"/>
    <w:rsid w:val="5F326683"/>
    <w:rsid w:val="5F5E3C1D"/>
    <w:rsid w:val="5F601CE2"/>
    <w:rsid w:val="60626682"/>
    <w:rsid w:val="607860D8"/>
    <w:rsid w:val="60B62650"/>
    <w:rsid w:val="61895FDA"/>
    <w:rsid w:val="62537640"/>
    <w:rsid w:val="62C035B7"/>
    <w:rsid w:val="630A6E47"/>
    <w:rsid w:val="63506D72"/>
    <w:rsid w:val="6367429A"/>
    <w:rsid w:val="64A6459D"/>
    <w:rsid w:val="64CD06F0"/>
    <w:rsid w:val="64D82142"/>
    <w:rsid w:val="65413B0D"/>
    <w:rsid w:val="654E0609"/>
    <w:rsid w:val="65A93001"/>
    <w:rsid w:val="65BA56EF"/>
    <w:rsid w:val="66017586"/>
    <w:rsid w:val="66713B93"/>
    <w:rsid w:val="66805C70"/>
    <w:rsid w:val="66F202EF"/>
    <w:rsid w:val="67287614"/>
    <w:rsid w:val="67313CD0"/>
    <w:rsid w:val="67416925"/>
    <w:rsid w:val="68EE1FD2"/>
    <w:rsid w:val="69084191"/>
    <w:rsid w:val="69B0601B"/>
    <w:rsid w:val="6AD9782B"/>
    <w:rsid w:val="6ADC5932"/>
    <w:rsid w:val="6B1F1146"/>
    <w:rsid w:val="6BCC55E2"/>
    <w:rsid w:val="6C32773C"/>
    <w:rsid w:val="6D4777F9"/>
    <w:rsid w:val="6D4E3F87"/>
    <w:rsid w:val="6D842CE1"/>
    <w:rsid w:val="6DB54BE6"/>
    <w:rsid w:val="6DFA0D9A"/>
    <w:rsid w:val="6E4D1826"/>
    <w:rsid w:val="6E930D29"/>
    <w:rsid w:val="6FC35C47"/>
    <w:rsid w:val="6FCB6104"/>
    <w:rsid w:val="714C4C90"/>
    <w:rsid w:val="71B52389"/>
    <w:rsid w:val="71E67F47"/>
    <w:rsid w:val="71F1661E"/>
    <w:rsid w:val="71F304A2"/>
    <w:rsid w:val="72250E71"/>
    <w:rsid w:val="731D6434"/>
    <w:rsid w:val="74105023"/>
    <w:rsid w:val="76573424"/>
    <w:rsid w:val="767E2D19"/>
    <w:rsid w:val="771B6AA4"/>
    <w:rsid w:val="77895B5D"/>
    <w:rsid w:val="77933F2D"/>
    <w:rsid w:val="78EC1071"/>
    <w:rsid w:val="79B002F1"/>
    <w:rsid w:val="7AA865D2"/>
    <w:rsid w:val="7AD324E9"/>
    <w:rsid w:val="7B344419"/>
    <w:rsid w:val="7C042604"/>
    <w:rsid w:val="7C164A3C"/>
    <w:rsid w:val="7DBD2B6B"/>
    <w:rsid w:val="7E0603B0"/>
    <w:rsid w:val="7EA1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阿里巴巴普惠体 3.0 55 Regular" w:hAnsi="阿里巴巴普惠体 3.0 55 Regular" w:eastAsia="阿里巴巴普惠体 3.0 55 Regular" w:cs="阿里巴巴普惠体 3.0 55 Regular"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160" w:after="80"/>
      <w:outlineLvl w:val="0"/>
    </w:pPr>
    <w:rPr>
      <w:b/>
      <w:color w:val="002060"/>
      <w:sz w:val="36"/>
      <w:szCs w:val="52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160" w:after="80"/>
      <w:outlineLvl w:val="1"/>
    </w:pPr>
    <w:rPr>
      <w:b/>
      <w:color w:val="00B0F0"/>
      <w:sz w:val="32"/>
      <w:szCs w:val="32"/>
      <w:u w:val="none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160" w:after="80"/>
      <w:outlineLvl w:val="2"/>
    </w:pPr>
    <w:rPr>
      <w:b/>
      <w:color w:val="C04F15" w:themeColor="accent2" w:themeShade="BF"/>
      <w:sz w:val="28"/>
      <w:szCs w:val="28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80" w:after="40"/>
      <w:outlineLvl w:val="3"/>
    </w:pPr>
    <w:rPr>
      <w:rFonts w:cstheme="majorBidi"/>
      <w:sz w:val="24"/>
      <w:szCs w:val="28"/>
      <w:u w:val="thick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33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34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5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3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12">
    <w:name w:val="footer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4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semiHidden/>
    <w:unhideWhenUsed/>
    <w:qFormat/>
    <w:uiPriority w:val="39"/>
  </w:style>
  <w:style w:type="paragraph" w:styleId="15">
    <w:name w:val="Subtitle"/>
    <w:basedOn w:val="1"/>
    <w:next w:val="1"/>
    <w:link w:val="38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8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9">
    <w:name w:val="Title"/>
    <w:basedOn w:val="1"/>
    <w:next w:val="1"/>
    <w:link w:val="37"/>
    <w:qFormat/>
    <w:uiPriority w:val="10"/>
    <w:pPr>
      <w:spacing w:after="80" w:line="360" w:lineRule="auto"/>
      <w:contextualSpacing/>
      <w:jc w:val="center"/>
    </w:pPr>
    <w:rPr>
      <w:rFonts w:cstheme="majorBidi"/>
      <w:b/>
      <w:spacing w:val="-10"/>
      <w:kern w:val="28"/>
      <w:sz w:val="56"/>
      <w:szCs w:val="56"/>
    </w:rPr>
  </w:style>
  <w:style w:type="table" w:styleId="21">
    <w:name w:val="Table Grid"/>
    <w:basedOn w:val="2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22"/>
    <w:rPr>
      <w:b/>
    </w:rPr>
  </w:style>
  <w:style w:type="character" w:styleId="24">
    <w:name w:val="FollowedHyperlink"/>
    <w:basedOn w:val="25"/>
    <w:unhideWhenUsed/>
    <w:qFormat/>
    <w:uiPriority w:val="99"/>
  </w:style>
  <w:style w:type="character" w:styleId="25">
    <w:name w:val="Hyperlink"/>
    <w:basedOn w:val="22"/>
    <w:unhideWhenUsed/>
    <w:qFormat/>
    <w:uiPriority w:val="99"/>
    <w:rPr>
      <w:rFonts w:ascii="阿里巴巴普惠体 3.0 55 Regular" w:hAnsi="阿里巴巴普惠体 3.0 55 Regular" w:eastAsia="阿里巴巴普惠体 3.0 55 Regular" w:cs="阿里巴巴普惠体 3.0 55 Regular"/>
      <w:color w:val="4E95D9" w:themeColor="text2" w:themeTint="80"/>
      <w:kern w:val="2"/>
      <w:sz w:val="21"/>
      <w:szCs w:val="21"/>
      <w:u w:val="single"/>
      <w:lang w:val="en-US" w:eastAsia="zh-CN" w:bidi="ar-SA"/>
      <w14:textFill>
        <w14:solidFill>
          <w14:schemeClr w14:val="tx2">
            <w14:lumMod w14:val="50000"/>
            <w14:lumOff w14:val="50000"/>
          </w14:schemeClr>
        </w14:solidFill>
      </w14:textFill>
    </w:rPr>
  </w:style>
  <w:style w:type="character" w:styleId="26">
    <w:name w:val="Emphasis"/>
    <w:basedOn w:val="22"/>
    <w:qFormat/>
    <w:uiPriority w:val="20"/>
    <w:rPr>
      <w:i/>
    </w:rPr>
  </w:style>
  <w:style w:type="character" w:styleId="27">
    <w:name w:val="HTML Code"/>
    <w:basedOn w:val="22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8">
    <w:name w:val="标题 1 字符"/>
    <w:basedOn w:val="22"/>
    <w:link w:val="2"/>
    <w:qFormat/>
    <w:uiPriority w:val="9"/>
    <w:rPr>
      <w:rFonts w:ascii="阿里巴巴普惠体 3.0 55 Regular" w:hAnsi="阿里巴巴普惠体 3.0 55 Regular" w:eastAsia="阿里巴巴普惠体 3.0 55 Regular" w:cs="阿里巴巴普惠体 3.0 55 Regular"/>
      <w:b/>
      <w:color w:val="002060"/>
      <w:sz w:val="36"/>
      <w:szCs w:val="52"/>
    </w:rPr>
  </w:style>
  <w:style w:type="character" w:customStyle="1" w:styleId="29">
    <w:name w:val="标题 2 字符"/>
    <w:basedOn w:val="22"/>
    <w:link w:val="3"/>
    <w:qFormat/>
    <w:uiPriority w:val="9"/>
    <w:rPr>
      <w:rFonts w:ascii="阿里巴巴普惠体 3.0 55 Regular" w:hAnsi="阿里巴巴普惠体 3.0 55 Regular" w:eastAsia="阿里巴巴普惠体 3.0 55 Regular" w:cs="阿里巴巴普惠体 3.0 55 Regular"/>
      <w:b/>
      <w:color w:val="00B0F0"/>
      <w:sz w:val="32"/>
      <w:szCs w:val="32"/>
      <w:u w:val="none"/>
    </w:rPr>
  </w:style>
  <w:style w:type="character" w:customStyle="1" w:styleId="30">
    <w:name w:val="标题 3 字符"/>
    <w:basedOn w:val="22"/>
    <w:link w:val="4"/>
    <w:qFormat/>
    <w:uiPriority w:val="9"/>
    <w:rPr>
      <w:rFonts w:ascii="阿里巴巴普惠体 3.0 55 Regular" w:hAnsi="阿里巴巴普惠体 3.0 55 Regular" w:eastAsia="阿里巴巴普惠体 3.0 55 Regular" w:cs="阿里巴巴普惠体 3.0 55 Regular"/>
      <w:b/>
      <w:color w:val="C04F15" w:themeColor="accent2" w:themeShade="BF"/>
      <w:sz w:val="28"/>
      <w:szCs w:val="28"/>
    </w:rPr>
  </w:style>
  <w:style w:type="character" w:customStyle="1" w:styleId="31">
    <w:name w:val="标题 4 字符"/>
    <w:basedOn w:val="22"/>
    <w:link w:val="5"/>
    <w:semiHidden/>
    <w:qFormat/>
    <w:uiPriority w:val="9"/>
    <w:rPr>
      <w:rFonts w:ascii="阿里巴巴普惠体 3.0 55 Regular" w:hAnsi="阿里巴巴普惠体 3.0 55 Regular" w:eastAsia="阿里巴巴普惠体 3.0 55 Regular" w:cstheme="majorBidi"/>
      <w:color w:val="000000" w:themeColor="text1"/>
      <w:sz w:val="24"/>
      <w:szCs w:val="28"/>
      <w:u w:val="thick"/>
      <w14:textFill>
        <w14:solidFill>
          <w14:schemeClr w14:val="tx1"/>
        </w14:solidFill>
      </w14:textFill>
    </w:rPr>
  </w:style>
  <w:style w:type="character" w:customStyle="1" w:styleId="32">
    <w:name w:val="标题 5 字符"/>
    <w:basedOn w:val="22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33">
    <w:name w:val="标题 6 字符"/>
    <w:basedOn w:val="22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34">
    <w:name w:val="标题 7 字符"/>
    <w:basedOn w:val="22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5">
    <w:name w:val="标题 8 字符"/>
    <w:basedOn w:val="22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6">
    <w:name w:val="标题 9 字符"/>
    <w:basedOn w:val="22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7">
    <w:name w:val="标题 字符"/>
    <w:basedOn w:val="22"/>
    <w:link w:val="19"/>
    <w:qFormat/>
    <w:uiPriority w:val="10"/>
    <w:rPr>
      <w:rFonts w:ascii="阿里巴巴普惠体 3.0 55 Regular" w:hAnsi="阿里巴巴普惠体 3.0 55 Regular" w:eastAsia="阿里巴巴普惠体 3.0 55 Regular" w:cstheme="majorBidi"/>
      <w:b/>
      <w:spacing w:val="-10"/>
      <w:kern w:val="28"/>
      <w:sz w:val="56"/>
      <w:szCs w:val="56"/>
    </w:rPr>
  </w:style>
  <w:style w:type="character" w:customStyle="1" w:styleId="38">
    <w:name w:val="副标题 字符"/>
    <w:basedOn w:val="22"/>
    <w:link w:val="15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9">
    <w:name w:val="Quote"/>
    <w:basedOn w:val="1"/>
    <w:next w:val="1"/>
    <w:link w:val="4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">
    <w:name w:val="引用 字符"/>
    <w:basedOn w:val="22"/>
    <w:link w:val="3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1">
    <w:name w:val="List Paragraph"/>
    <w:basedOn w:val="1"/>
    <w:qFormat/>
    <w:uiPriority w:val="34"/>
    <w:pPr>
      <w:ind w:left="720"/>
      <w:contextualSpacing/>
    </w:pPr>
  </w:style>
  <w:style w:type="character" w:customStyle="1" w:styleId="42">
    <w:name w:val="明显强调1"/>
    <w:basedOn w:val="22"/>
    <w:qFormat/>
    <w:uiPriority w:val="21"/>
    <w:rPr>
      <w:i/>
      <w:iCs/>
      <w:color w:val="104862" w:themeColor="accent1" w:themeShade="BF"/>
    </w:rPr>
  </w:style>
  <w:style w:type="paragraph" w:styleId="43">
    <w:name w:val="Intense Quote"/>
    <w:basedOn w:val="1"/>
    <w:next w:val="1"/>
    <w:link w:val="4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44">
    <w:name w:val="明显引用 字符"/>
    <w:basedOn w:val="22"/>
    <w:link w:val="43"/>
    <w:qFormat/>
    <w:uiPriority w:val="30"/>
    <w:rPr>
      <w:i/>
      <w:iCs/>
      <w:color w:val="104862" w:themeColor="accent1" w:themeShade="BF"/>
    </w:rPr>
  </w:style>
  <w:style w:type="character" w:customStyle="1" w:styleId="45">
    <w:name w:val="明显参考1"/>
    <w:basedOn w:val="22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46">
    <w:name w:val="页眉 字符"/>
    <w:basedOn w:val="22"/>
    <w:link w:val="13"/>
    <w:qFormat/>
    <w:uiPriority w:val="99"/>
    <w:rPr>
      <w:sz w:val="18"/>
      <w:szCs w:val="18"/>
    </w:rPr>
  </w:style>
  <w:style w:type="character" w:customStyle="1" w:styleId="47">
    <w:name w:val="页脚 字符"/>
    <w:basedOn w:val="22"/>
    <w:link w:val="12"/>
    <w:qFormat/>
    <w:uiPriority w:val="99"/>
    <w:rPr>
      <w:sz w:val="18"/>
      <w:szCs w:val="18"/>
    </w:rPr>
  </w:style>
  <w:style w:type="paragraph" w:customStyle="1" w:styleId="48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49">
    <w:name w:val="No Spacing"/>
    <w:qFormat/>
    <w:uiPriority w:val="1"/>
    <w:pPr>
      <w:widowControl w:val="0"/>
      <w:jc w:val="both"/>
    </w:pPr>
    <w:rPr>
      <w:rFonts w:ascii="阿里巴巴普惠体 3.0 55 Regular" w:hAnsi="阿里巴巴普惠体 3.0 55 Regular" w:eastAsia="阿里巴巴普惠体 3.0 55 Regular" w:cs="阿里巴巴普惠体 3.0 55 Regular"/>
      <w:kern w:val="2"/>
      <w:sz w:val="21"/>
      <w:szCs w:val="21"/>
      <w:lang w:val="en-US" w:eastAsia="zh-CN" w:bidi="ar-SA"/>
    </w:rPr>
  </w:style>
  <w:style w:type="character" w:customStyle="1" w:styleId="50">
    <w:name w:val="未处理的提及1"/>
    <w:basedOn w:val="22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51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52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4" Type="http://schemas.openxmlformats.org/officeDocument/2006/relationships/fontTable" Target="fontTable.xml"/><Relationship Id="rId33" Type="http://schemas.openxmlformats.org/officeDocument/2006/relationships/customXml" Target="../customXml/item2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E21D20-C79C-4183-9488-1085FA8479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4872</Words>
  <Characters>7558</Characters>
  <Lines>1</Lines>
  <Paragraphs>1</Paragraphs>
  <TotalTime>1</TotalTime>
  <ScaleCrop>false</ScaleCrop>
  <LinksUpToDate>false</LinksUpToDate>
  <CharactersWithSpaces>7963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2025-01-23T07:36:00Z</dcterms:created>
  <dc:creator>师傅 桂</dc:creator>
  <cp:lastModifiedBy>Young</cp:lastModifiedBy>
  <cp:lastPrinted>2025-01-23T07:36:00Z</cp:lastPrinted>
  <dcterms:modified xsi:type="dcterms:W3CDTF">2025-02-15T18:10:31Z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eyJoZGlkIjoiMTExMWVmYTI4NmY5NDMxNzc5YzM4YTI4NDc4M2EzMjciLCJ1c2VySWQiOiI1MjI4NzM4MjEifQ==</vt:lpwstr>
  </property>
  <property fmtid="{D5CDD505-2E9C-101B-9397-08002B2CF9AE}" pid="3" name="KSOProductBuildVer">
    <vt:lpwstr>2052-12.1.0.19770</vt:lpwstr>
  </property>
  <property fmtid="{D5CDD505-2E9C-101B-9397-08002B2CF9AE}" pid="4" name="ICV">
    <vt:lpwstr>5ECC958CD0BB472EAEB1BDE741E235FB_12</vt:lpwstr>
  </property>
</Properties>
</file>