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复盘路径拆解</w:t>
      </w:r>
    </w:p>
    <w:p>
      <w:pPr>
        <w:pStyle w:val="1"/>
        <w:spacing w:before="380" w:after="140" w:line="288" w:lineRule="auto"/>
        <w:ind w:left="0"/>
        <w:jc w:val="left"/>
        <w:outlineLvl w:val="0"/>
      </w:pPr>
      <w:bookmarkStart w:name="heading_0" w:id="0"/>
      <w:r>
        <w:rPr>
          <w:rFonts w:eastAsia="等线" w:ascii="Arial" w:cs="Arial" w:hAnsi="Arial"/>
          <w:b w:val="true"/>
          <w:sz w:val="36"/>
        </w:rPr>
        <w:t>Workflow (拆解逻辑)-以施华蔻为例</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一、投后结案复盘数据</w:t>
      </w:r>
      <w:bookmarkEnd w:id="1"/>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1. </w:t>
      </w:r>
      <w:r>
        <w:rPr>
          <w:rFonts w:eastAsia="等线" w:ascii="Arial" w:cs="Arial" w:hAnsi="Arial"/>
          <w:b w:val="true"/>
          <w:sz w:val="30"/>
        </w:rPr>
        <w:t>触点切换&amp;行业参考值选择</w:t>
      </w:r>
      <w:bookmarkEnd w:id="2"/>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行业参考值：行业TOP5%品牌均值</w:t>
            </w:r>
          </w:p>
        </w:tc>
      </w:tr>
    </w:tbl>
    <w:p>
      <w:pPr>
        <w:spacing w:before="120" w:after="120" w:line="288" w:lineRule="auto"/>
        <w:ind w:left="0"/>
        <w:jc w:val="center"/>
      </w:pPr>
      <w:r>
        <w:drawing>
          <wp:inline distT="0" distR="0" distB="0" distL="0">
            <wp:extent cx="5257800" cy="26003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003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行业参考值：行业TOP5%品牌均值</w:t>
        <w:br/>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触点切换逻辑：</w:t>
            </w:r>
          </w:p>
          <w:p>
            <w:pPr>
              <w:spacing w:before="120" w:after="120" w:line="288" w:lineRule="auto"/>
              <w:ind w:left="0"/>
              <w:jc w:val="left"/>
            </w:pPr>
            <w:r>
              <w:rPr>
                <w:rFonts w:eastAsia="等线" w:ascii="Arial" w:cs="Arial" w:hAnsi="Arial"/>
                <w:sz w:val="22"/>
              </w:rPr>
              <w:t>①本次活动整体时候：抖音-达人营销-星图视频投放（会包含投放数据）</w:t>
            </w:r>
          </w:p>
          <w:p>
            <w:pPr>
              <w:spacing w:before="120" w:after="120" w:line="288" w:lineRule="auto"/>
              <w:ind w:left="0"/>
              <w:jc w:val="left"/>
            </w:pPr>
            <w:r>
              <w:rPr>
                <w:rFonts w:eastAsia="等线" w:ascii="Arial" w:cs="Arial" w:hAnsi="Arial"/>
                <w:sz w:val="22"/>
              </w:rPr>
              <w:t>②竞价投放数据：抖音-竞价投放-AD首选媒体</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159"/>
        <w:gridCol w:w="4120"/>
      </w:tblGrid>
      <w:tr>
        <w:tc>
          <w:tcPr>
            <w:tcW w:w="4159" w:type="dxa"/>
            <w:tcMar>
              <w:top w:type="dxa" w:w="60"/>
              <w:left w:type="dxa" w:w="120"/>
              <w:bottom w:type="dxa" w:w="30"/>
              <w:right w:type="dxa" w:w="120"/>
            </w:tcMar>
          </w:tcPr>
          <w:p>
            <w:pPr>
              <w:spacing w:before="120" w:after="120" w:line="288" w:lineRule="auto"/>
              <w:ind w:left="0"/>
              <w:jc w:val="center"/>
            </w:pPr>
            <w:r>
              <w:drawing>
                <wp:inline distT="0" distR="0" distB="0" distL="0">
                  <wp:extent cx="2486025" cy="12192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2486025" cy="1219200"/>
                          </a:xfrm>
                          <a:prstGeom prst="rect">
                            <a:avLst/>
                          </a:prstGeom>
                        </pic:spPr>
                      </pic:pic>
                    </a:graphicData>
                  </a:graphic>
                </wp:inline>
              </w:drawing>
            </w:r>
          </w:p>
        </w:tc>
        <w:tc>
          <w:tcPr>
            <w:tcW w:w="4120" w:type="dxa"/>
            <w:tcMar>
              <w:top w:type="dxa" w:w="60"/>
              <w:left w:type="dxa" w:w="120"/>
              <w:bottom w:type="dxa" w:w="30"/>
              <w:right w:type="dxa" w:w="120"/>
            </w:tcMar>
          </w:tcPr>
          <w:p>
            <w:pPr>
              <w:spacing w:before="120" w:after="120" w:line="288" w:lineRule="auto"/>
              <w:ind w:left="0"/>
              <w:jc w:val="center"/>
            </w:pPr>
            <w:r>
              <w:drawing>
                <wp:inline distT="0" distR="0" distB="0" distL="0">
                  <wp:extent cx="2457450" cy="12192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2457450" cy="1219200"/>
                          </a:xfrm>
                          <a:prstGeom prst="rect">
                            <a:avLst/>
                          </a:prstGeom>
                        </pic:spPr>
                      </pic:pic>
                    </a:graphicData>
                  </a:graphic>
                </wp:inline>
              </w:drawing>
            </w:r>
          </w:p>
        </w:tc>
      </w:tr>
    </w:tbl>
    <w:p>
      <w:pPr>
        <w:pStyle w:val="3"/>
        <w:spacing w:before="300" w:after="120" w:line="288" w:lineRule="auto"/>
        <w:ind w:left="0"/>
        <w:jc w:val="left"/>
        <w:outlineLvl w:val="2"/>
      </w:pPr>
      <w:bookmarkStart w:name="heading_3" w:id="3"/>
      <w:r>
        <w:rPr>
          <w:rFonts w:eastAsia="等线" w:ascii="Arial" w:cs="Arial" w:hAnsi="Arial"/>
          <w:color w:val="3370ff"/>
          <w:sz w:val="30"/>
        </w:rPr>
        <w:t xml:space="preserve">2. </w:t>
      </w:r>
      <w:r>
        <w:rPr>
          <w:rFonts w:eastAsia="等线" w:ascii="Arial" w:cs="Arial" w:hAnsi="Arial"/>
          <w:b w:val="true"/>
          <w:sz w:val="30"/>
        </w:rPr>
        <w:t>项目整体 Overview</w:t>
      </w:r>
      <w:bookmarkEnd w:id="3"/>
    </w:p>
    <w:p>
      <w:pPr>
        <w:numPr>
          <w:numId w:val="1"/>
        </w:numPr>
        <w:spacing w:before="120" w:after="120" w:line="288" w:lineRule="auto"/>
        <w:ind w:left="0"/>
        <w:jc w:val="left"/>
      </w:pPr>
      <w:r>
        <w:rPr>
          <w:rFonts w:eastAsia="等线" w:ascii="Arial" w:cs="Arial" w:hAnsi="Arial"/>
          <w:sz w:val="22"/>
        </w:rPr>
        <w:t>汇总全案数据（KOL+KOC+投放）主要去看整体的表现以及KPI完成度。</w:t>
      </w:r>
    </w:p>
    <w:p>
      <w:pPr>
        <w:numPr>
          <w:numId w:val="2"/>
        </w:numPr>
        <w:spacing w:before="120" w:after="120" w:line="288" w:lineRule="auto"/>
        <w:ind w:left="0"/>
        <w:jc w:val="left"/>
      </w:pPr>
      <w:r>
        <w:rPr>
          <w:rFonts w:eastAsia="等线" w:ascii="Arial" w:cs="Arial" w:hAnsi="Arial"/>
          <w:sz w:val="22"/>
        </w:rPr>
        <w:t>[数据维度]：曝光次数、互动率、回搜次数、</w:t>
      </w:r>
      <w:r>
        <w:rPr>
          <w:rFonts w:eastAsia="等线" w:ascii="Arial" w:cs="Arial" w:hAnsi="Arial"/>
          <w:sz w:val="22"/>
        </w:rPr>
        <w:t>7日</w:t>
      </w:r>
      <w:r>
        <w:rPr>
          <w:rFonts w:eastAsia="等线" w:ascii="Arial" w:cs="Arial" w:hAnsi="Arial"/>
          <w:sz w:val="22"/>
        </w:rPr>
        <w:t>回搜人数、</w:t>
      </w:r>
      <w:r>
        <w:rPr>
          <w:rFonts w:eastAsia="等线" w:ascii="Arial" w:cs="Arial" w:hAnsi="Arial"/>
          <w:sz w:val="22"/>
        </w:rPr>
        <w:t>七日回搜率、</w:t>
      </w:r>
      <w:r>
        <w:rPr>
          <w:rFonts w:eastAsia="等线" w:ascii="Arial" w:cs="Arial" w:hAnsi="Arial"/>
          <w:sz w:val="22"/>
        </w:rPr>
        <w:t>完播率</w:t>
      </w:r>
      <w:r>
        <w:rPr>
          <w:rFonts w:eastAsia="等线" w:ascii="Arial" w:cs="Arial" w:hAnsi="Arial"/>
          <w:sz w:val="22"/>
        </w:rPr>
        <w:t>、完播数</w:t>
      </w:r>
      <w:r>
        <w:rPr>
          <w:rFonts w:eastAsia="等线" w:ascii="Arial" w:cs="Arial" w:hAnsi="Arial"/>
          <w:sz w:val="22"/>
        </w:rPr>
        <w:t>、A3 流转人数、A3 流转率、</w:t>
      </w:r>
      <w:r>
        <w:rPr>
          <w:rFonts w:eastAsia="等线" w:ascii="Arial" w:cs="Arial" w:hAnsi="Arial"/>
          <w:sz w:val="22"/>
        </w:rPr>
        <w:t>本次活动转化金额、拉新人群规模、新客占比、</w:t>
      </w:r>
      <w:r>
        <w:rPr>
          <w:rFonts w:eastAsia="等线" w:ascii="Arial" w:cs="Arial" w:hAnsi="Arial"/>
          <w:sz w:val="22"/>
        </w:rPr>
        <w:t>CPM、CPE、CPS、CPA3</w:t>
      </w:r>
      <w:r>
        <w:rPr>
          <w:rFonts w:eastAsia="等线" w:ascii="Arial" w:cs="Arial" w:hAnsi="Arial"/>
          <w:sz w:val="22"/>
        </w:rPr>
        <w:t>、CP5A、ROI</w:t>
      </w:r>
      <w:r>
        <w:rPr>
          <w:rFonts w:eastAsia="等线" w:ascii="Arial" w:cs="Arial" w:hAnsi="Arial"/>
          <w:sz w:val="22"/>
        </w:rPr>
        <w:t>。</w:t>
      </w:r>
    </w:p>
    <w:p>
      <w:pPr>
        <w:numPr>
          <w:numId w:val="3"/>
        </w:numPr>
        <w:spacing w:before="120" w:after="120" w:line="288" w:lineRule="auto"/>
        <w:ind w:left="0"/>
        <w:jc w:val="left"/>
      </w:pPr>
      <w:r>
        <w:rPr>
          <w:rFonts w:eastAsia="等线" w:ascii="Arial" w:cs="Arial" w:hAnsi="Arial"/>
          <w:sz w:val="22"/>
        </w:rPr>
        <w:t>[取数路径]巨量云图-营销决策-投后结案-查看对应结案的报告-流量分析/人群分析/转化分析/（品牌形象-搜索分析）</w:t>
      </w:r>
    </w:p>
    <w:p>
      <w:pPr>
        <w:pStyle w:val="4"/>
        <w:spacing w:before="260" w:after="120" w:line="288" w:lineRule="auto"/>
        <w:ind w:left="0"/>
        <w:jc w:val="left"/>
        <w:outlineLvl w:val="3"/>
      </w:pPr>
      <w:bookmarkStart w:name="heading_4" w:id="4"/>
      <w:r>
        <w:rPr>
          <w:rFonts w:eastAsia="等线" w:ascii="Arial" w:cs="Arial" w:hAnsi="Arial"/>
          <w:b w:val="true"/>
          <w:sz w:val="28"/>
        </w:rPr>
        <w:t>需要产出字段数据：</w:t>
      </w:r>
      <w:bookmarkEnd w:id="4"/>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无法直接看板直接获取数据</w:t>
            </w:r>
          </w:p>
          <w:p>
            <w:pPr>
              <w:spacing w:before="120" w:after="120" w:line="288" w:lineRule="auto"/>
              <w:ind w:left="0"/>
              <w:jc w:val="left"/>
            </w:pPr>
            <w:r>
              <w:rPr>
                <w:rFonts w:eastAsia="等线" w:ascii="Arial" w:cs="Arial" w:hAnsi="Arial"/>
                <w:sz w:val="22"/>
              </w:rPr>
              <w:t>互动次数：互动率*曝光次数；</w:t>
            </w:r>
          </w:p>
          <w:p>
            <w:pPr>
              <w:spacing w:before="120" w:after="120" w:line="288" w:lineRule="auto"/>
              <w:ind w:left="0"/>
              <w:jc w:val="left"/>
            </w:pPr>
            <w:r>
              <w:rPr>
                <w:rFonts w:eastAsia="等线" w:ascii="Arial" w:cs="Arial" w:hAnsi="Arial"/>
                <w:sz w:val="22"/>
              </w:rPr>
              <w:t>回搜次数：巨量云图-营销决策-投后结案-查看对应结案的报告-活动总览-搜索分析-搜索趋势分析-选取对应天数将搜索次数相加；</w:t>
            </w:r>
          </w:p>
          <w:p>
            <w:pPr>
              <w:spacing w:before="120" w:after="120" w:line="288" w:lineRule="auto"/>
              <w:ind w:left="0"/>
              <w:jc w:val="left"/>
            </w:pPr>
            <w:r>
              <w:rPr>
                <w:rFonts w:eastAsia="等线" w:ascii="Arial" w:cs="Arial" w:hAnsi="Arial"/>
                <w:sz w:val="22"/>
              </w:rPr>
              <w:t>完播数：曝光次数*完播率；</w:t>
            </w:r>
          </w:p>
          <w:p>
            <w:pPr>
              <w:spacing w:before="120" w:after="120" w:line="288" w:lineRule="auto"/>
              <w:ind w:left="0"/>
              <w:jc w:val="left"/>
            </w:pPr>
            <w:r>
              <w:rPr>
                <w:rFonts w:eastAsia="等线" w:ascii="Arial" w:cs="Arial" w:hAnsi="Arial"/>
                <w:sz w:val="22"/>
              </w:rPr>
              <w:t>成本指标CP开头的东西：实际金额由业务提供，本次活动整体为星图金额+投放金额、竞价为竞价实际金额</w:t>
            </w:r>
          </w:p>
          <w:p>
            <w:pPr>
              <w:spacing w:before="120" w:after="120" w:line="288" w:lineRule="auto"/>
              <w:ind w:left="0"/>
              <w:jc w:val="left"/>
            </w:pPr>
            <w:r>
              <w:rPr>
                <w:rFonts w:eastAsia="等线" w:ascii="Arial" w:cs="Arial" w:hAnsi="Arial"/>
                <w:sz w:val="22"/>
              </w:rPr>
              <w:t>CPM：实际消耗金额/曝光次数*1000</w:t>
            </w:r>
          </w:p>
          <w:p>
            <w:pPr>
              <w:spacing w:before="120" w:after="120" w:line="288" w:lineRule="auto"/>
              <w:ind w:left="0"/>
              <w:jc w:val="left"/>
            </w:pPr>
            <w:r>
              <w:rPr>
                <w:rFonts w:eastAsia="等线" w:ascii="Arial" w:cs="Arial" w:hAnsi="Arial"/>
                <w:sz w:val="22"/>
              </w:rPr>
              <w:t>CPE：实际消耗金额/互动量</w:t>
            </w:r>
          </w:p>
          <w:p>
            <w:pPr>
              <w:spacing w:before="120" w:after="120" w:line="288" w:lineRule="auto"/>
              <w:ind w:left="0"/>
              <w:jc w:val="left"/>
            </w:pPr>
            <w:r>
              <w:rPr>
                <w:rFonts w:eastAsia="等线" w:ascii="Arial" w:cs="Arial" w:hAnsi="Arial"/>
                <w:sz w:val="22"/>
              </w:rPr>
              <w:t>CPS：实际消耗金额/回搜次数</w:t>
            </w:r>
          </w:p>
          <w:p>
            <w:pPr>
              <w:spacing w:before="120" w:after="120" w:line="288" w:lineRule="auto"/>
              <w:ind w:left="0"/>
              <w:jc w:val="left"/>
            </w:pPr>
            <w:r>
              <w:rPr>
                <w:rFonts w:eastAsia="等线" w:ascii="Arial" w:cs="Arial" w:hAnsi="Arial"/>
                <w:sz w:val="22"/>
              </w:rPr>
              <w:t>CPA3：实际消耗金额/A3流转人数</w:t>
            </w:r>
          </w:p>
          <w:p>
            <w:pPr>
              <w:spacing w:before="120" w:after="120" w:line="288" w:lineRule="auto"/>
              <w:ind w:left="0"/>
              <w:jc w:val="left"/>
            </w:pPr>
            <w:r>
              <w:rPr>
                <w:rFonts w:eastAsia="等线" w:ascii="Arial" w:cs="Arial" w:hAnsi="Arial"/>
                <w:sz w:val="22"/>
              </w:rPr>
              <w:t>ROI：本次活动转化金额/实际消耗金额</w:t>
            </w:r>
          </w:p>
        </w:tc>
      </w:tr>
    </w:tbl>
    <w:p>
      <w:pPr>
        <w:spacing w:before="120" w:after="120" w:line="288" w:lineRule="auto"/>
        <w:ind w:left="0"/>
        <w:jc w:val="center"/>
      </w:pPr>
      <w:r>
        <w:drawing>
          <wp:inline distT="0" distR="0" distB="0" distL="0">
            <wp:extent cx="5257800" cy="3429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42900"/>
                    </a:xfrm>
                    <a:prstGeom prst="rect">
                      <a:avLst/>
                    </a:prstGeom>
                  </pic:spPr>
                </pic:pic>
              </a:graphicData>
            </a:graphic>
          </wp:inline>
        </w:drawing>
      </w:r>
    </w:p>
    <w:p>
      <w:pPr>
        <w:pStyle w:val="4"/>
        <w:spacing w:before="260" w:after="120" w:line="288" w:lineRule="auto"/>
        <w:ind w:left="0"/>
        <w:jc w:val="left"/>
        <w:outlineLvl w:val="3"/>
      </w:pPr>
      <w:bookmarkStart w:name="heading_5" w:id="5"/>
      <w:r>
        <w:rPr>
          <w:rFonts w:eastAsia="等线" w:ascii="Arial" w:cs="Arial" w:hAnsi="Arial"/>
          <w:b w:val="true"/>
          <w:sz w:val="28"/>
        </w:rPr>
        <w:t>云图界面数据位置：</w:t>
      </w:r>
      <w:bookmarkEnd w:id="5"/>
    </w:p>
    <w:tbl>
      <w:tblPr>
        <w:tblW w:w="0" w:type="auto"/>
        <w:tblInd w:w="0" w:type="dxa"/>
        <w:tblBorders>
          <w:top w:val="none" w:space="4"/>
          <w:left w:val="none" w:space="4"/>
          <w:bottom w:val="none" w:space="4"/>
          <w:right w:val="none" w:space="4"/>
          <w:insideH w:val="none" w:space="4"/>
          <w:insideV w:val="none" w:space="4"/>
        </w:tblBorders>
        <w:tblLayout w:type="fixed"/>
      </w:tblPr>
      <w:tblGrid>
        <w:gridCol w:w="1270"/>
        <w:gridCol w:w="2510"/>
        <w:gridCol w:w="2295"/>
        <w:gridCol w:w="2202"/>
      </w:tblGrid>
      <w:tr>
        <w:tc>
          <w:tcPr>
            <w:tcW w:w="1270" w:type="dxa"/>
            <w:tcMar>
              <w:top w:type="dxa" w:w="60"/>
              <w:left w:type="dxa" w:w="120"/>
              <w:bottom w:type="dxa" w:w="30"/>
              <w:right w:type="dxa" w:w="120"/>
            </w:tcMar>
          </w:tcPr>
          <w:p>
            <w:pPr>
              <w:spacing w:before="120" w:after="120" w:line="288" w:lineRule="auto"/>
              <w:ind w:left="0"/>
              <w:jc w:val="center"/>
            </w:pPr>
            <w:r>
              <w:drawing>
                <wp:inline distT="0" distR="0" distB="0" distL="0">
                  <wp:extent cx="647700" cy="5715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647700" cy="571500"/>
                          </a:xfrm>
                          <a:prstGeom prst="rect">
                            <a:avLst/>
                          </a:prstGeom>
                        </pic:spPr>
                      </pic:pic>
                    </a:graphicData>
                  </a:graphic>
                </wp:inline>
              </w:drawing>
            </w:r>
          </w:p>
        </w:tc>
        <w:tc>
          <w:tcPr>
            <w:tcW w:w="2510" w:type="dxa"/>
            <w:tcMar>
              <w:top w:type="dxa" w:w="60"/>
              <w:left w:type="dxa" w:w="120"/>
              <w:bottom w:type="dxa" w:w="30"/>
              <w:right w:type="dxa" w:w="120"/>
            </w:tcMar>
          </w:tcPr>
          <w:p>
            <w:pPr>
              <w:spacing w:before="120" w:after="120" w:line="288" w:lineRule="auto"/>
              <w:ind w:left="0"/>
              <w:jc w:val="center"/>
            </w:pPr>
            <w:r>
              <w:drawing>
                <wp:inline distT="0" distR="0" distB="0" distL="0">
                  <wp:extent cx="1438275" cy="6191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1438275" cy="619125"/>
                          </a:xfrm>
                          <a:prstGeom prst="rect">
                            <a:avLst/>
                          </a:prstGeom>
                        </pic:spPr>
                      </pic:pic>
                    </a:graphicData>
                  </a:graphic>
                </wp:inline>
              </w:drawing>
            </w:r>
          </w:p>
        </w:tc>
        <w:tc>
          <w:tcPr>
            <w:tcW w:w="2295" w:type="dxa"/>
            <w:tcMar>
              <w:top w:type="dxa" w:w="60"/>
              <w:left w:type="dxa" w:w="120"/>
              <w:bottom w:type="dxa" w:w="30"/>
              <w:right w:type="dxa" w:w="120"/>
            </w:tcMar>
          </w:tcPr>
          <w:p>
            <w:pPr>
              <w:spacing w:before="120" w:after="120" w:line="288" w:lineRule="auto"/>
              <w:ind w:left="0"/>
              <w:jc w:val="center"/>
            </w:pPr>
            <w:r>
              <w:drawing>
                <wp:inline distT="0" distR="0" distB="0" distL="0">
                  <wp:extent cx="1304925" cy="6191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1304925" cy="619125"/>
                          </a:xfrm>
                          <a:prstGeom prst="rect">
                            <a:avLst/>
                          </a:prstGeom>
                        </pic:spPr>
                      </pic:pic>
                    </a:graphicData>
                  </a:graphic>
                </wp:inline>
              </w:drawing>
            </w:r>
          </w:p>
        </w:tc>
        <w:tc>
          <w:tcPr>
            <w:tcW w:w="2202" w:type="dxa"/>
            <w:tcMar>
              <w:top w:type="dxa" w:w="60"/>
              <w:left w:type="dxa" w:w="120"/>
              <w:bottom w:type="dxa" w:w="30"/>
              <w:right w:type="dxa" w:w="120"/>
            </w:tcMar>
          </w:tcPr>
          <w:p>
            <w:pPr>
              <w:spacing w:before="120" w:after="120" w:line="288" w:lineRule="auto"/>
              <w:ind w:left="0"/>
              <w:jc w:val="center"/>
            </w:pPr>
            <w:r>
              <w:drawing>
                <wp:inline distT="0" distR="0" distB="0" distL="0">
                  <wp:extent cx="1238250" cy="6191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1238250" cy="619125"/>
                          </a:xfrm>
                          <a:prstGeom prst="rect">
                            <a:avLst/>
                          </a:prstGeom>
                        </pic:spPr>
                      </pic:pic>
                    </a:graphicData>
                  </a:graphic>
                </wp:inline>
              </w:drawing>
            </w:r>
          </w:p>
        </w:tc>
      </w:tr>
    </w:tbl>
    <w:p>
      <w:pPr>
        <w:pStyle w:val="3"/>
        <w:spacing w:before="300" w:after="120" w:line="288" w:lineRule="auto"/>
        <w:ind w:left="0"/>
        <w:jc w:val="left"/>
        <w:outlineLvl w:val="2"/>
      </w:pPr>
      <w:bookmarkStart w:name="heading_6" w:id="6"/>
      <w:r>
        <w:rPr>
          <w:rFonts w:eastAsia="等线" w:ascii="Arial" w:cs="Arial" w:hAnsi="Arial"/>
          <w:color w:val="3370ff"/>
          <w:sz w:val="30"/>
        </w:rPr>
        <w:t xml:space="preserve">3. </w:t>
      </w:r>
      <w:r>
        <w:rPr>
          <w:rFonts w:eastAsia="等线" w:ascii="Arial" w:cs="Arial" w:hAnsi="Arial"/>
          <w:b w:val="true"/>
          <w:sz w:val="30"/>
        </w:rPr>
        <w:t>5A 人群资产流转</w:t>
      </w:r>
      <w:bookmarkEnd w:id="6"/>
    </w:p>
    <w:p>
      <w:pPr>
        <w:numPr>
          <w:numId w:val="4"/>
        </w:numPr>
        <w:spacing w:before="120" w:after="120" w:line="288" w:lineRule="auto"/>
        <w:ind w:left="0"/>
        <w:jc w:val="left"/>
      </w:pPr>
      <w:r>
        <w:rPr>
          <w:rFonts w:eastAsia="等线" w:ascii="Arial" w:cs="Arial" w:hAnsi="Arial"/>
          <w:sz w:val="22"/>
        </w:rPr>
        <w:t>评估营销对品牌资产的贡献度。</w:t>
      </w:r>
    </w:p>
    <w:p>
      <w:pPr>
        <w:numPr>
          <w:numId w:val="5"/>
        </w:numPr>
        <w:spacing w:before="120" w:after="120" w:line="288" w:lineRule="auto"/>
        <w:ind w:left="0"/>
        <w:jc w:val="left"/>
      </w:pPr>
      <w:r>
        <w:rPr>
          <w:rFonts w:eastAsia="等线" w:ascii="Arial" w:cs="Arial" w:hAnsi="Arial"/>
          <w:sz w:val="22"/>
        </w:rPr>
        <w:t>[数据维度]：各层级 5A 资产新增量级、流转率、</w:t>
      </w:r>
      <w:r>
        <w:rPr>
          <w:rFonts w:eastAsia="等线" w:ascii="Arial" w:cs="Arial" w:hAnsi="Arial"/>
          <w:sz w:val="22"/>
        </w:rPr>
        <w:t>拉新比例（拉新能力上，投后5A人群中</w:t>
      </w:r>
      <w:r>
        <w:rPr>
          <w:rFonts w:eastAsia="等线" w:ascii="Arial" w:cs="Arial" w:hAnsi="Arial"/>
          <w:sz w:val="22"/>
          <w:u w:val="single"/>
        </w:rPr>
        <w:t>拉新比例</w:t>
      </w:r>
      <w:r>
        <w:rPr>
          <w:rFonts w:eastAsia="等线" w:ascii="Arial" w:cs="Arial" w:hAnsi="Arial"/>
          <w:sz w:val="22"/>
        </w:rPr>
        <w:t>）</w:t>
      </w:r>
      <w:r>
        <w:rPr>
          <w:rFonts w:eastAsia="等线" w:ascii="Arial" w:cs="Arial" w:hAnsi="Arial"/>
          <w:sz w:val="22"/>
        </w:rPr>
        <w:t>。</w:t>
      </w:r>
    </w:p>
    <w:p>
      <w:pPr>
        <w:numPr>
          <w:numId w:val="6"/>
        </w:numPr>
        <w:spacing w:before="120" w:after="120" w:line="288" w:lineRule="auto"/>
        <w:ind w:left="0"/>
        <w:jc w:val="left"/>
      </w:pPr>
      <w:r>
        <w:rPr>
          <w:rFonts w:eastAsia="等线" w:ascii="Arial" w:cs="Arial" w:hAnsi="Arial"/>
          <w:sz w:val="22"/>
        </w:rPr>
        <w:t>[取数路径]：巨量云图-营销决策-投后结案</w:t>
      </w:r>
      <w:r>
        <w:rPr>
          <w:rFonts w:eastAsia="等线" w:ascii="Arial" w:cs="Arial" w:hAnsi="Arial"/>
          <w:sz w:val="22"/>
        </w:rPr>
        <w:t>-人群分析-5A关系资产分析-</w:t>
      </w:r>
      <w:r>
        <w:rPr>
          <w:rFonts w:eastAsia="等线" w:ascii="Arial" w:cs="Arial" w:hAnsi="Arial"/>
          <w:sz w:val="22"/>
        </w:rPr>
        <w:t>5A</w:t>
      </w:r>
      <w:r>
        <w:rPr>
          <w:rFonts w:eastAsia="等线" w:ascii="Arial" w:cs="Arial" w:hAnsi="Arial"/>
          <w:sz w:val="22"/>
        </w:rPr>
        <w:t>人群</w:t>
      </w:r>
      <w:r>
        <w:rPr>
          <w:rFonts w:eastAsia="等线" w:ascii="Arial" w:cs="Arial" w:hAnsi="Arial"/>
          <w:sz w:val="22"/>
        </w:rPr>
        <w:t>资产；行业TOP5%品牌数据需点击问好（附图）</w:t>
      </w:r>
    </w:p>
    <w:p>
      <w:pPr>
        <w:numPr>
          <w:numId w:val="7"/>
        </w:numPr>
        <w:spacing w:before="120" w:after="120" w:line="288" w:lineRule="auto"/>
        <w:ind w:left="0"/>
        <w:jc w:val="left"/>
      </w:pPr>
      <w:r>
        <w:rPr>
          <w:rFonts w:eastAsia="等线" w:ascii="Arial" w:cs="Arial" w:hAnsi="Arial"/>
          <w:sz w:val="22"/>
        </w:rPr>
        <w:t>触点选择：全部/全部</w:t>
      </w:r>
    </w:p>
    <w:p>
      <w:pPr>
        <w:pStyle w:val="4"/>
        <w:spacing w:before="260" w:after="120" w:line="288" w:lineRule="auto"/>
        <w:ind w:left="0"/>
        <w:jc w:val="left"/>
        <w:outlineLvl w:val="3"/>
      </w:pPr>
      <w:bookmarkStart w:name="heading_7" w:id="7"/>
      <w:r>
        <w:rPr>
          <w:rFonts w:eastAsia="等线" w:ascii="Arial" w:cs="Arial" w:hAnsi="Arial"/>
          <w:b w:val="true"/>
          <w:sz w:val="28"/>
        </w:rPr>
        <w:t>需要产出字段数据：</w:t>
      </w:r>
      <w:bookmarkEnd w:id="7"/>
    </w:p>
    <w:p>
      <w:pPr>
        <w:spacing w:before="120" w:after="120" w:line="288" w:lineRule="auto"/>
        <w:ind w:left="0"/>
        <w:jc w:val="center"/>
      </w:pPr>
      <w:r>
        <w:drawing>
          <wp:inline distT="0" distR="0" distB="0" distL="0">
            <wp:extent cx="5257800" cy="46958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4695825"/>
                    </a:xfrm>
                    <a:prstGeom prst="rect">
                      <a:avLst/>
                    </a:prstGeom>
                  </pic:spPr>
                </pic:pic>
              </a:graphicData>
            </a:graphic>
          </wp:inline>
        </w:drawing>
      </w:r>
    </w:p>
    <w:p>
      <w:pPr>
        <w:pStyle w:val="4"/>
        <w:spacing w:before="260" w:after="120" w:line="288" w:lineRule="auto"/>
        <w:ind w:left="0"/>
        <w:jc w:val="left"/>
        <w:outlineLvl w:val="3"/>
      </w:pPr>
      <w:bookmarkStart w:name="heading_8" w:id="8"/>
      <w:r>
        <w:rPr>
          <w:rFonts w:eastAsia="等线" w:ascii="Arial" w:cs="Arial" w:hAnsi="Arial"/>
          <w:b w:val="true"/>
          <w:sz w:val="28"/>
        </w:rPr>
        <w:t>云图界面数据位置：</w:t>
      </w:r>
      <w:bookmarkEnd w:id="8"/>
    </w:p>
    <w:tbl>
      <w:tblPr>
        <w:tblW w:w="0" w:type="auto"/>
        <w:tblInd w:w="0" w:type="dxa"/>
        <w:tblBorders>
          <w:top w:val="none" w:space="4"/>
          <w:left w:val="none" w:space="4"/>
          <w:bottom w:val="none" w:space="4"/>
          <w:right w:val="none" w:space="4"/>
          <w:insideH w:val="none" w:space="4"/>
          <w:insideV w:val="none" w:space="4"/>
        </w:tblBorders>
        <w:tblLayout w:type="fixed"/>
      </w:tblPr>
      <w:tblGrid>
        <w:gridCol w:w="4092"/>
        <w:gridCol w:w="4187"/>
      </w:tblGrid>
      <w:tr>
        <w:tc>
          <w:tcPr>
            <w:tcW w:w="4092" w:type="dxa"/>
            <w:tcMar>
              <w:top w:type="dxa" w:w="60"/>
              <w:left w:type="dxa" w:w="120"/>
              <w:bottom w:type="dxa" w:w="30"/>
              <w:right w:type="dxa" w:w="120"/>
            </w:tcMar>
          </w:tcPr>
          <w:p>
            <w:pPr>
              <w:spacing w:before="120" w:after="120" w:line="288" w:lineRule="auto"/>
              <w:ind w:left="0"/>
              <w:jc w:val="center"/>
            </w:pPr>
            <w:r>
              <w:drawing>
                <wp:inline distT="0" distR="0" distB="0" distL="0">
                  <wp:extent cx="2438400" cy="8286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2438400" cy="828675"/>
                          </a:xfrm>
                          <a:prstGeom prst="rect">
                            <a:avLst/>
                          </a:prstGeom>
                        </pic:spPr>
                      </pic:pic>
                    </a:graphicData>
                  </a:graphic>
                </wp:inline>
              </w:drawing>
            </w:r>
          </w:p>
        </w:tc>
        <w:tc>
          <w:tcPr>
            <w:tcW w:w="4187" w:type="dxa"/>
            <w:tcMar>
              <w:top w:type="dxa" w:w="60"/>
              <w:left w:type="dxa" w:w="120"/>
              <w:bottom w:type="dxa" w:w="30"/>
              <w:right w:type="dxa" w:w="120"/>
            </w:tcMar>
          </w:tcPr>
          <w:p>
            <w:pPr>
              <w:spacing w:before="120" w:after="120" w:line="288" w:lineRule="auto"/>
              <w:ind w:left="0"/>
              <w:jc w:val="center"/>
            </w:pPr>
            <w:r>
              <w:drawing>
                <wp:inline distT="0" distR="0" distB="0" distL="0">
                  <wp:extent cx="2505075" cy="8286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2505075" cy="8286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行业TOP5%品牌均值位置，点击？</w:t>
              <w:br/>
            </w:r>
          </w:p>
        </w:tc>
      </w:tr>
    </w:tbl>
    <w:p>
      <w:pPr>
        <w:pStyle w:val="3"/>
        <w:spacing w:before="300" w:after="120" w:line="288" w:lineRule="auto"/>
        <w:ind w:left="0"/>
        <w:jc w:val="left"/>
        <w:outlineLvl w:val="2"/>
      </w:pPr>
      <w:bookmarkStart w:name="heading_9" w:id="9"/>
      <w:r>
        <w:rPr>
          <w:rFonts w:eastAsia="等线" w:ascii="Arial" w:cs="Arial" w:hAnsi="Arial"/>
          <w:color w:val="3370ff"/>
          <w:sz w:val="30"/>
        </w:rPr>
        <w:t xml:space="preserve">4. </w:t>
      </w:r>
      <w:r>
        <w:rPr>
          <w:rFonts w:eastAsia="等线" w:ascii="Arial" w:cs="Arial" w:hAnsi="Arial"/>
          <w:b w:val="true"/>
          <w:sz w:val="30"/>
        </w:rPr>
        <w:t>投放人群画像</w:t>
      </w:r>
      <w:bookmarkEnd w:id="9"/>
    </w:p>
    <w:p>
      <w:pPr>
        <w:numPr>
          <w:numId w:val="8"/>
        </w:numPr>
        <w:spacing w:before="120" w:after="120" w:line="288" w:lineRule="auto"/>
        <w:ind w:left="0"/>
        <w:jc w:val="left"/>
      </w:pPr>
      <w:r>
        <w:rPr>
          <w:rFonts w:eastAsia="等线" w:ascii="Arial" w:cs="Arial" w:hAnsi="Arial"/>
          <w:sz w:val="22"/>
        </w:rPr>
        <w:t>看本次营销整体、投放的曝光人群、A3人群画像是否精准。</w:t>
      </w:r>
    </w:p>
    <w:p>
      <w:pPr>
        <w:numPr>
          <w:numId w:val="9"/>
        </w:numPr>
        <w:spacing w:before="120" w:after="120" w:line="288" w:lineRule="auto"/>
        <w:ind w:left="0"/>
        <w:jc w:val="left"/>
      </w:pPr>
      <w:r>
        <w:rPr>
          <w:rFonts w:eastAsia="等线" w:ascii="Arial" w:cs="Arial" w:hAnsi="Arial"/>
          <w:sz w:val="22"/>
        </w:rPr>
        <w:t>[数据维度]：八大人群&amp;年龄&amp;性别&amp;城市线级等基础数据</w:t>
      </w:r>
    </w:p>
    <w:p>
      <w:pPr>
        <w:numPr>
          <w:numId w:val="10"/>
        </w:numPr>
        <w:spacing w:before="120" w:after="120" w:line="288" w:lineRule="auto"/>
        <w:ind w:left="0"/>
        <w:jc w:val="left"/>
      </w:pPr>
      <w:r>
        <w:rPr>
          <w:rFonts w:eastAsia="等线" w:ascii="Arial" w:cs="Arial" w:hAnsi="Arial"/>
          <w:sz w:val="22"/>
        </w:rPr>
        <w:t>[分析建议]：本次投放是否精准，曝光TA浓度</w:t>
      </w:r>
    </w:p>
    <w:p>
      <w:pPr>
        <w:numPr>
          <w:numId w:val="11"/>
        </w:numPr>
        <w:spacing w:before="120" w:after="120" w:line="288" w:lineRule="auto"/>
        <w:ind w:left="0"/>
        <w:jc w:val="left"/>
      </w:pPr>
      <w:r>
        <w:rPr>
          <w:rFonts w:eastAsia="等线" w:ascii="Arial" w:cs="Arial" w:hAnsi="Arial"/>
          <w:sz w:val="22"/>
        </w:rPr>
        <w:t>[取数路径]：</w:t>
      </w:r>
    </w:p>
    <w:p>
      <w:pPr>
        <w:numPr>
          <w:numId w:val="12"/>
        </w:numPr>
        <w:spacing w:before="120" w:after="120" w:line="288" w:lineRule="auto"/>
        <w:ind w:left="0"/>
        <w:jc w:val="left"/>
      </w:pPr>
      <w:r>
        <w:rPr>
          <w:rFonts w:eastAsia="等线" w:ascii="Arial" w:cs="Arial" w:hAnsi="Arial"/>
          <w:sz w:val="22"/>
        </w:rPr>
        <w:t>投放曝光人群：巨量云图-营销决策-投后结案-查看对应结案的报告-人群分析-人群画像分析-画像分析-5A人群总资产-基础画像-下载按钮（5A人群资产：投后）</w:t>
      </w:r>
    </w:p>
    <w:p>
      <w:pPr>
        <w:numPr>
          <w:numId w:val="13"/>
        </w:numPr>
        <w:spacing w:before="120" w:after="120" w:line="288" w:lineRule="auto"/>
        <w:ind w:left="0"/>
        <w:jc w:val="left"/>
      </w:pPr>
      <w:r>
        <w:rPr>
          <w:rFonts w:eastAsia="等线" w:ascii="Arial" w:cs="Arial" w:hAnsi="Arial"/>
          <w:sz w:val="22"/>
        </w:rPr>
        <w:t>投后A3人群：巨量云图-营销决策-投后结案-查看对应结案的报告-人群分析-人群画像分析-画像分析-A3问询-基础画像-下载按钮（5A人群资产：投后）</w:t>
      </w:r>
    </w:p>
    <w:p>
      <w:pPr>
        <w:numPr>
          <w:numId w:val="14"/>
        </w:numPr>
        <w:spacing w:before="120" w:after="120" w:line="288" w:lineRule="auto"/>
        <w:ind w:left="0"/>
        <w:jc w:val="left"/>
      </w:pPr>
      <w:r>
        <w:rPr>
          <w:rFonts w:eastAsia="等线" w:ascii="Arial" w:cs="Arial" w:hAnsi="Arial"/>
          <w:sz w:val="22"/>
        </w:rPr>
        <w:t>触点选择：星图视频投放/AD首选媒体（根据业务需要进行切换）</w:t>
      </w:r>
    </w:p>
    <w:p>
      <w:pPr>
        <w:pStyle w:val="4"/>
        <w:spacing w:before="260" w:after="120" w:line="288" w:lineRule="auto"/>
        <w:ind w:left="0"/>
        <w:jc w:val="left"/>
        <w:outlineLvl w:val="3"/>
      </w:pPr>
      <w:bookmarkStart w:name="heading_10" w:id="10"/>
      <w:r>
        <w:rPr>
          <w:rFonts w:eastAsia="等线" w:ascii="Arial" w:cs="Arial" w:hAnsi="Arial"/>
          <w:b w:val="true"/>
          <w:sz w:val="28"/>
        </w:rPr>
        <w:t>需要产出字段数据：</w:t>
      </w:r>
      <w:bookmarkEnd w:id="10"/>
    </w:p>
    <w:p>
      <w:pPr>
        <w:spacing w:before="120" w:after="120" w:line="288" w:lineRule="auto"/>
        <w:ind w:left="0"/>
        <w:jc w:val="center"/>
      </w:pPr>
      <w:r>
        <w:drawing>
          <wp:inline distT="0" distR="0" distB="0" distL="0">
            <wp:extent cx="5257800" cy="45529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4552950"/>
                    </a:xfrm>
                    <a:prstGeom prst="rect">
                      <a:avLst/>
                    </a:prstGeom>
                  </pic:spPr>
                </pic:pic>
              </a:graphicData>
            </a:graphic>
          </wp:inline>
        </w:drawing>
      </w:r>
    </w:p>
    <w:p>
      <w:pPr>
        <w:pStyle w:val="4"/>
        <w:spacing w:before="260" w:after="120" w:line="288" w:lineRule="auto"/>
        <w:ind w:left="0"/>
        <w:jc w:val="left"/>
        <w:outlineLvl w:val="3"/>
      </w:pPr>
      <w:bookmarkStart w:name="heading_11" w:id="11"/>
      <w:r>
        <w:rPr>
          <w:rFonts w:eastAsia="等线" w:ascii="Arial" w:cs="Arial" w:hAnsi="Arial"/>
          <w:b w:val="true"/>
          <w:sz w:val="28"/>
        </w:rPr>
        <w:t>云图界面数据位置</w:t>
      </w:r>
      <w:bookmarkEnd w:id="11"/>
    </w:p>
    <w:p>
      <w:pPr>
        <w:spacing w:before="120" w:after="120" w:line="288" w:lineRule="auto"/>
        <w:ind w:left="0"/>
        <w:jc w:val="center"/>
      </w:pPr>
      <w:r>
        <w:drawing>
          <wp:inline distT="0" distR="0" distB="0" distL="0">
            <wp:extent cx="5257800" cy="60198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6019800"/>
                    </a:xfrm>
                    <a:prstGeom prst="rect">
                      <a:avLst/>
                    </a:prstGeom>
                  </pic:spPr>
                </pic:pic>
              </a:graphicData>
            </a:graphic>
          </wp:inline>
        </w:drawing>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5. </w:t>
      </w:r>
      <w:r>
        <w:rPr>
          <w:rFonts w:eastAsia="等线" w:ascii="Arial" w:cs="Arial" w:hAnsi="Arial"/>
          <w:b w:val="true"/>
          <w:sz w:val="30"/>
        </w:rPr>
        <w:t>投流人群包复盘</w:t>
      </w:r>
      <w:bookmarkEnd w:id="12"/>
    </w:p>
    <w:p>
      <w:pPr>
        <w:numPr>
          <w:numId w:val="15"/>
        </w:numPr>
        <w:spacing w:before="120" w:after="120" w:line="288" w:lineRule="auto"/>
        <w:ind w:left="0"/>
        <w:jc w:val="left"/>
      </w:pPr>
      <w:r>
        <w:rPr>
          <w:rFonts w:eastAsia="等线" w:ascii="Arial" w:cs="Arial" w:hAnsi="Arial"/>
          <w:sz w:val="22"/>
        </w:rPr>
        <w:t>拆分投放效果。</w:t>
      </w:r>
    </w:p>
    <w:p>
      <w:pPr>
        <w:numPr>
          <w:numId w:val="16"/>
        </w:numPr>
        <w:spacing w:before="120" w:after="120" w:line="288" w:lineRule="auto"/>
        <w:ind w:left="0"/>
        <w:jc w:val="left"/>
      </w:pPr>
      <w:r>
        <w:rPr>
          <w:rFonts w:eastAsia="等线" w:ascii="Arial" w:cs="Arial" w:hAnsi="Arial"/>
          <w:sz w:val="22"/>
        </w:rPr>
        <w:t>[数据维度]：人群包表现、投放A3 流转率、各人群包 CPA3、渗透率...</w:t>
      </w:r>
    </w:p>
    <w:p>
      <w:pPr>
        <w:numPr>
          <w:numId w:val="17"/>
        </w:numPr>
        <w:spacing w:before="120" w:after="120" w:line="288" w:lineRule="auto"/>
        <w:ind w:left="0"/>
        <w:jc w:val="left"/>
      </w:pPr>
      <w:r>
        <w:rPr>
          <w:rFonts w:eastAsia="等线" w:ascii="Arial" w:cs="Arial" w:hAnsi="Arial"/>
          <w:sz w:val="22"/>
        </w:rPr>
        <w:t>[分析建议]：为下次投放提供人群包优化迭代建议。</w:t>
      </w:r>
    </w:p>
    <w:p>
      <w:pPr>
        <w:numPr>
          <w:numId w:val="18"/>
        </w:numPr>
        <w:spacing w:before="120" w:after="120" w:line="288" w:lineRule="auto"/>
        <w:ind w:left="0"/>
        <w:jc w:val="left"/>
      </w:pPr>
      <w:r>
        <w:rPr>
          <w:rFonts w:eastAsia="等线" w:ascii="Arial" w:cs="Arial" w:hAnsi="Arial"/>
          <w:sz w:val="22"/>
        </w:rPr>
        <w:t>[取数路径]：巨量云图-营销决策-投后结案-查看对应结案的报告-人群分析-人群画像分析-人群包投放效果分析-触达表现</w:t>
      </w:r>
    </w:p>
    <w:p>
      <w:pPr>
        <w:pStyle w:val="4"/>
        <w:spacing w:before="260" w:after="120" w:line="288" w:lineRule="auto"/>
        <w:ind w:left="0"/>
        <w:jc w:val="left"/>
        <w:outlineLvl w:val="3"/>
      </w:pPr>
      <w:bookmarkStart w:name="heading_13" w:id="13"/>
      <w:r>
        <w:rPr>
          <w:rFonts w:eastAsia="等线" w:ascii="Arial" w:cs="Arial" w:hAnsi="Arial"/>
          <w:b w:val="true"/>
          <w:sz w:val="28"/>
        </w:rPr>
        <w:t>需要产出字段数据：</w:t>
      </w:r>
      <w:bookmarkEnd w:id="13"/>
    </w:p>
    <w:p>
      <w:pPr>
        <w:spacing w:before="120" w:after="120" w:line="288" w:lineRule="auto"/>
        <w:ind w:left="0"/>
        <w:jc w:val="center"/>
      </w:pPr>
      <w:r>
        <w:drawing>
          <wp:inline distT="0" distR="0" distB="0" distL="0">
            <wp:extent cx="5257800" cy="16764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1676400"/>
                    </a:xfrm>
                    <a:prstGeom prst="rect">
                      <a:avLst/>
                    </a:prstGeom>
                  </pic:spPr>
                </pic:pic>
              </a:graphicData>
            </a:graphic>
          </wp:inline>
        </w:drawing>
      </w:r>
    </w:p>
    <w:p>
      <w:pPr>
        <w:pStyle w:val="4"/>
        <w:spacing w:before="260" w:after="120" w:line="288" w:lineRule="auto"/>
        <w:ind w:left="0"/>
        <w:jc w:val="left"/>
        <w:outlineLvl w:val="3"/>
      </w:pPr>
      <w:bookmarkStart w:name="heading_14" w:id="14"/>
      <w:r>
        <w:rPr>
          <w:rFonts w:eastAsia="等线" w:ascii="Arial" w:cs="Arial" w:hAnsi="Arial"/>
          <w:b w:val="true"/>
          <w:sz w:val="28"/>
        </w:rPr>
        <w:t>云图界面数据位置：</w:t>
      </w:r>
      <w:bookmarkEnd w:id="14"/>
    </w:p>
    <w:p>
      <w:pPr>
        <w:spacing w:before="120" w:after="120" w:line="288" w:lineRule="auto"/>
        <w:ind w:left="0"/>
        <w:jc w:val="center"/>
      </w:pPr>
      <w:r>
        <w:drawing>
          <wp:inline distT="0" distR="0" distB="0" distL="0">
            <wp:extent cx="5257800" cy="23145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2314575"/>
                    </a:xfrm>
                    <a:prstGeom prst="rect">
                      <a:avLst/>
                    </a:prstGeom>
                  </pic:spPr>
                </pic:pic>
              </a:graphicData>
            </a:graphic>
          </wp:inline>
        </w:drawing>
      </w:r>
    </w:p>
    <w:p>
      <w:pPr>
        <w:pStyle w:val="2"/>
        <w:spacing w:before="320" w:after="120" w:line="288" w:lineRule="auto"/>
        <w:ind w:left="0"/>
        <w:jc w:val="left"/>
        <w:outlineLvl w:val="1"/>
      </w:pPr>
      <w:bookmarkStart w:name="heading_15" w:id="15"/>
      <w:r>
        <w:rPr>
          <w:rFonts w:eastAsia="等线" w:ascii="Arial" w:cs="Arial" w:hAnsi="Arial"/>
          <w:b w:val="true"/>
          <w:sz w:val="32"/>
        </w:rPr>
        <w:t>三、达人及内容复盘</w:t>
      </w:r>
      <w:bookmarkEnd w:id="15"/>
    </w:p>
    <w:p>
      <w:pPr>
        <w:numPr>
          <w:numId w:val="19"/>
        </w:numPr>
        <w:spacing w:before="120" w:after="120" w:line="288" w:lineRule="auto"/>
        <w:ind w:left="0"/>
        <w:jc w:val="left"/>
      </w:pPr>
      <w:r>
        <w:rPr>
          <w:rFonts w:eastAsia="等线" w:ascii="Arial" w:cs="Arial" w:hAnsi="Arial"/>
          <w:sz w:val="22"/>
        </w:rPr>
        <w:t>基于个体表现去劣存优。</w:t>
      </w:r>
    </w:p>
    <w:p>
      <w:pPr>
        <w:numPr>
          <w:numId w:val="20"/>
        </w:numPr>
        <w:spacing w:before="120" w:after="120" w:line="288" w:lineRule="auto"/>
        <w:ind w:left="0"/>
        <w:jc w:val="left"/>
      </w:pPr>
      <w:r>
        <w:rPr>
          <w:rFonts w:eastAsia="等线" w:ascii="Arial" w:cs="Arial" w:hAnsi="Arial"/>
          <w:sz w:val="22"/>
        </w:rPr>
        <w:t>[分析重点]：爆文数据特征、不同层级达人效率对比（CPM/CPE/CPA3）。</w:t>
      </w:r>
    </w:p>
    <w:p>
      <w:pPr>
        <w:numPr>
          <w:numId w:val="21"/>
        </w:numPr>
        <w:spacing w:before="120" w:after="120" w:line="288" w:lineRule="auto"/>
        <w:ind w:left="0"/>
        <w:jc w:val="left"/>
      </w:pPr>
      <w:r>
        <w:rPr>
          <w:rFonts w:eastAsia="等线" w:ascii="Arial" w:cs="Arial" w:hAnsi="Arial"/>
          <w:sz w:val="22"/>
        </w:rPr>
        <w:t>[视觉内容]：星图曝光人群画像与品牌 TA 匹配度分析。</w:t>
      </w:r>
    </w:p>
    <w:p>
      <w:pPr>
        <w:numPr>
          <w:numId w:val="22"/>
        </w:numPr>
        <w:spacing w:before="120" w:after="120" w:line="288" w:lineRule="auto"/>
        <w:ind w:left="0"/>
        <w:jc w:val="left"/>
      </w:pPr>
      <w:r>
        <w:rPr>
          <w:rFonts w:eastAsia="等线" w:ascii="Arial" w:cs="Arial" w:hAnsi="Arial"/>
          <w:sz w:val="22"/>
        </w:rPr>
        <w:t>[取数路径]：巨量云图-营销概览-爆文加热</w:t>
      </w:r>
      <w:r>
        <w:rPr>
          <w:rFonts w:eastAsia="等线" w:ascii="Arial" w:cs="Arial" w:hAnsi="Arial"/>
          <w:sz w:val="22"/>
        </w:rPr>
        <w:t>-选择视频发布日期-视频榜单-点击导出数据-下载类型（全部内容）</w:t>
      </w:r>
      <w:r>
        <w:rPr>
          <w:rFonts w:eastAsia="等线" w:ascii="Arial" w:cs="Arial" w:hAnsi="Arial"/>
          <w:sz w:val="22"/>
        </w:rPr>
        <w:t>/部分维度需要by达人圈选结案（产出字段数据已标注那部分需要）</w:t>
      </w:r>
    </w:p>
    <w:p>
      <w:pPr>
        <w:pStyle w:val="4"/>
        <w:spacing w:before="260" w:after="120" w:line="288" w:lineRule="auto"/>
        <w:ind w:left="0"/>
        <w:jc w:val="left"/>
        <w:outlineLvl w:val="3"/>
      </w:pPr>
      <w:bookmarkStart w:name="heading_16" w:id="16"/>
      <w:r>
        <w:rPr>
          <w:rFonts w:eastAsia="等线" w:ascii="Arial" w:cs="Arial" w:hAnsi="Arial"/>
          <w:b w:val="true"/>
          <w:sz w:val="28"/>
        </w:rPr>
        <w:t>需要产出字段数据：</w:t>
      </w:r>
      <w:bookmarkEnd w:id="16"/>
    </w:p>
    <w:p>
      <w:pPr>
        <w:spacing w:before="120" w:after="120" w:line="288" w:lineRule="auto"/>
        <w:ind w:left="0"/>
        <w:jc w:val="center"/>
      </w:pPr>
      <w:r>
        <w:drawing>
          <wp:inline distT="0" distR="0" distB="0" distL="0">
            <wp:extent cx="5257800" cy="3524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352425"/>
                    </a:xfrm>
                    <a:prstGeom prst="rect">
                      <a:avLst/>
                    </a:prstGeom>
                  </pic:spPr>
                </pic:pic>
              </a:graphicData>
            </a:graphic>
          </wp:inline>
        </w:drawing>
      </w:r>
    </w:p>
    <w:p>
      <w:pPr>
        <w:pStyle w:val="4"/>
        <w:spacing w:before="260" w:after="120" w:line="288" w:lineRule="auto"/>
        <w:ind w:left="0"/>
        <w:jc w:val="left"/>
        <w:outlineLvl w:val="3"/>
      </w:pPr>
      <w:bookmarkStart w:name="heading_17" w:id="17"/>
      <w:r>
        <w:rPr>
          <w:rFonts w:eastAsia="等线" w:ascii="Arial" w:cs="Arial" w:hAnsi="Arial"/>
          <w:b w:val="true"/>
          <w:sz w:val="28"/>
        </w:rPr>
        <w:t>云图界面数据位置：</w:t>
      </w:r>
      <w:bookmarkEnd w:id="17"/>
    </w:p>
    <w:tbl>
      <w:tblPr>
        <w:tblW w:w="0" w:type="auto"/>
        <w:tblInd w:w="0" w:type="dxa"/>
        <w:tblBorders>
          <w:top w:val="none" w:space="4"/>
          <w:left w:val="none" w:space="4"/>
          <w:bottom w:val="none" w:space="4"/>
          <w:right w:val="none" w:space="4"/>
          <w:insideH w:val="none" w:space="4"/>
          <w:insideV w:val="none" w:space="4"/>
        </w:tblBorders>
        <w:tblLayout w:type="fixed"/>
      </w:tblPr>
      <w:tblGrid>
        <w:gridCol w:w="2152"/>
        <w:gridCol w:w="6127"/>
      </w:tblGrid>
      <w:tr>
        <w:tc>
          <w:tcPr>
            <w:tcW w:w="2152" w:type="dxa"/>
            <w:tcMar>
              <w:top w:type="dxa" w:w="60"/>
              <w:left w:type="dxa" w:w="120"/>
              <w:bottom w:type="dxa" w:w="30"/>
              <w:right w:type="dxa" w:w="120"/>
            </w:tcMar>
          </w:tcPr>
          <w:p>
            <w:pPr>
              <w:spacing w:before="120" w:after="120" w:line="288" w:lineRule="auto"/>
              <w:ind w:left="0"/>
              <w:jc w:val="center"/>
            </w:pPr>
            <w:r>
              <w:drawing>
                <wp:inline distT="0" distR="0" distB="0" distL="0">
                  <wp:extent cx="1209675" cy="17621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1209675" cy="1762125"/>
                          </a:xfrm>
                          <a:prstGeom prst="rect">
                            <a:avLst/>
                          </a:prstGeom>
                        </pic:spPr>
                      </pic:pic>
                    </a:graphicData>
                  </a:graphic>
                </wp:inline>
              </w:drawing>
            </w:r>
          </w:p>
        </w:tc>
        <w:tc>
          <w:tcPr>
            <w:tcW w:w="6127" w:type="dxa"/>
            <w:tcMar>
              <w:top w:type="dxa" w:w="60"/>
              <w:left w:type="dxa" w:w="120"/>
              <w:bottom w:type="dxa" w:w="30"/>
              <w:right w:type="dxa" w:w="120"/>
            </w:tcMar>
          </w:tcPr>
          <w:p>
            <w:pPr>
              <w:spacing w:before="120" w:after="120" w:line="288" w:lineRule="auto"/>
              <w:ind w:left="0"/>
              <w:jc w:val="center"/>
            </w:pPr>
            <w:r>
              <w:drawing>
                <wp:inline distT="0" distR="0" distB="0" distL="0">
                  <wp:extent cx="3733800" cy="187642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3733800" cy="1876425"/>
                          </a:xfrm>
                          <a:prstGeom prst="rect">
                            <a:avLst/>
                          </a:prstGeom>
                        </pic:spPr>
                      </pic:pic>
                    </a:graphicData>
                  </a:graphic>
                </wp:inline>
              </w:drawing>
            </w:r>
          </w:p>
        </w:tc>
      </w:tr>
    </w:tbl>
    <w:p>
      <w:pPr>
        <w:pStyle w:val="2"/>
        <w:spacing w:before="320" w:after="120" w:line="288" w:lineRule="auto"/>
        <w:ind w:left="0"/>
        <w:jc w:val="left"/>
        <w:outlineLvl w:val="1"/>
      </w:pPr>
      <w:bookmarkStart w:name="heading_18" w:id="18"/>
      <w:r>
        <w:rPr>
          <w:rFonts w:eastAsia="等线" w:ascii="Arial" w:cs="Arial" w:hAnsi="Arial"/>
          <w:b w:val="true"/>
          <w:sz w:val="32"/>
        </w:rPr>
        <w:t>四、搜索与溢出价值</w:t>
      </w:r>
      <w:bookmarkEnd w:id="18"/>
    </w:p>
    <w:p>
      <w:pPr>
        <w:numPr>
          <w:numId w:val="23"/>
        </w:numPr>
        <w:spacing w:before="120" w:after="120" w:line="288" w:lineRule="auto"/>
        <w:ind w:left="0"/>
        <w:jc w:val="left"/>
      </w:pPr>
      <w:r>
        <w:rPr>
          <w:rFonts w:eastAsia="等线" w:ascii="Arial" w:cs="Arial" w:hAnsi="Arial"/>
          <w:sz w:val="22"/>
        </w:rPr>
        <w:t>复盘“看搜”链路。</w:t>
      </w:r>
    </w:p>
    <w:p>
      <w:pPr>
        <w:numPr>
          <w:numId w:val="24"/>
        </w:numPr>
        <w:spacing w:before="120" w:after="120" w:line="288" w:lineRule="auto"/>
        <w:ind w:left="0"/>
        <w:jc w:val="left"/>
      </w:pPr>
      <w:r>
        <w:rPr>
          <w:rFonts w:eastAsia="等线" w:ascii="Arial" w:cs="Arial" w:hAnsi="Arial"/>
          <w:sz w:val="22"/>
        </w:rPr>
        <w:t>[数据维度]：SOV（声量份额）、搜索人数/次数变化趋势（活动期 vs 活动前eg：活动期为1.20-1.29，活动前则为1.10-1.19）。</w:t>
      </w:r>
    </w:p>
    <w:p>
      <w:pPr>
        <w:numPr>
          <w:numId w:val="25"/>
        </w:numPr>
        <w:spacing w:before="120" w:after="120" w:line="288" w:lineRule="auto"/>
        <w:ind w:left="0"/>
        <w:jc w:val="left"/>
      </w:pPr>
      <w:r>
        <w:rPr>
          <w:rFonts w:eastAsia="等线" w:ascii="Arial" w:cs="Arial" w:hAnsi="Arial"/>
          <w:sz w:val="22"/>
        </w:rPr>
        <w:t>[取数路径]：巨量云图-营销</w:t>
      </w:r>
      <w:r>
        <w:rPr>
          <w:rFonts w:eastAsia="等线" w:ascii="Arial" w:cs="Arial" w:hAnsi="Arial"/>
          <w:sz w:val="22"/>
        </w:rPr>
        <w:t>触点</w:t>
      </w:r>
      <w:r>
        <w:rPr>
          <w:rFonts w:eastAsia="等线" w:ascii="Arial" w:cs="Arial" w:hAnsi="Arial"/>
          <w:sz w:val="22"/>
        </w:rPr>
        <w:t>-</w:t>
      </w:r>
      <w:r>
        <w:rPr>
          <w:rFonts w:eastAsia="等线" w:ascii="Arial" w:cs="Arial" w:hAnsi="Arial"/>
          <w:sz w:val="22"/>
        </w:rPr>
        <w:t>行业搜索洞察</w:t>
      </w:r>
      <w:r>
        <w:rPr>
          <w:rFonts w:eastAsia="等线" w:ascii="Arial" w:cs="Arial" w:hAnsi="Arial"/>
          <w:sz w:val="22"/>
        </w:rPr>
        <w:t>-</w:t>
      </w:r>
      <w:r>
        <w:rPr>
          <w:rFonts w:eastAsia="等线" w:ascii="Arial" w:cs="Arial" w:hAnsi="Arial"/>
          <w:sz w:val="22"/>
        </w:rPr>
        <w:t>选择对应日期</w:t>
      </w:r>
      <w:r>
        <w:rPr>
          <w:rFonts w:eastAsia="等线" w:ascii="Arial" w:cs="Arial" w:hAnsi="Arial"/>
          <w:sz w:val="22"/>
        </w:rPr>
        <w:t>和行业</w:t>
      </w:r>
      <w:r>
        <w:rPr>
          <w:rFonts w:eastAsia="等线" w:ascii="Arial" w:cs="Arial" w:hAnsi="Arial"/>
          <w:sz w:val="22"/>
        </w:rPr>
        <w:t>-行业搜索趋势</w:t>
      </w:r>
      <w:r>
        <w:rPr>
          <w:rFonts w:eastAsia="等线" w:ascii="Arial" w:cs="Arial" w:hAnsi="Arial"/>
          <w:sz w:val="22"/>
        </w:rPr>
        <w:t>/行业核心品牌</w:t>
      </w:r>
    </w:p>
    <w:p>
      <w:pPr>
        <w:pStyle w:val="4"/>
        <w:spacing w:before="260" w:after="120" w:line="288" w:lineRule="auto"/>
        <w:ind w:left="0"/>
        <w:jc w:val="left"/>
        <w:outlineLvl w:val="3"/>
      </w:pPr>
      <w:bookmarkStart w:name="heading_19" w:id="19"/>
      <w:r>
        <w:rPr>
          <w:rFonts w:eastAsia="等线" w:ascii="Arial" w:cs="Arial" w:hAnsi="Arial"/>
          <w:b w:val="true"/>
          <w:sz w:val="28"/>
        </w:rPr>
        <w:t>需要产出字段数据：</w:t>
      </w:r>
      <w:bookmarkEnd w:id="19"/>
    </w:p>
    <w:p>
      <w:pPr>
        <w:spacing w:before="120" w:after="120" w:line="288" w:lineRule="auto"/>
        <w:ind w:left="0"/>
        <w:jc w:val="center"/>
      </w:pPr>
      <w:r>
        <w:drawing>
          <wp:inline distT="0" distR="0" distB="0" distL="0">
            <wp:extent cx="5257800" cy="26479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5257800" cy="2647950"/>
                    </a:xfrm>
                    <a:prstGeom prst="rect">
                      <a:avLst/>
                    </a:prstGeom>
                  </pic:spPr>
                </pic:pic>
              </a:graphicData>
            </a:graphic>
          </wp:inline>
        </w:drawing>
      </w:r>
    </w:p>
    <w:p>
      <w:pPr>
        <w:pStyle w:val="4"/>
        <w:spacing w:before="260" w:after="120" w:line="288" w:lineRule="auto"/>
        <w:ind w:left="0"/>
        <w:jc w:val="left"/>
        <w:outlineLvl w:val="3"/>
      </w:pPr>
      <w:bookmarkStart w:name="heading_20" w:id="20"/>
      <w:r>
        <w:rPr>
          <w:rFonts w:eastAsia="等线" w:ascii="Arial" w:cs="Arial" w:hAnsi="Arial"/>
          <w:b w:val="true"/>
          <w:sz w:val="28"/>
        </w:rPr>
        <w:t>云图界面数据位置：</w:t>
      </w:r>
      <w:bookmarkEnd w:id="20"/>
    </w:p>
    <w:tbl>
      <w:tblPr>
        <w:tblW w:w="0" w:type="auto"/>
        <w:tblInd w:w="0" w:type="dxa"/>
        <w:tblBorders>
          <w:top w:val="none" w:space="4"/>
          <w:left w:val="none" w:space="4"/>
          <w:bottom w:val="none" w:space="4"/>
          <w:right w:val="none" w:space="4"/>
          <w:insideH w:val="none" w:space="4"/>
          <w:insideV w:val="none" w:space="4"/>
        </w:tblBorders>
        <w:tblLayout w:type="fixed"/>
      </w:tblPr>
      <w:tblGrid>
        <w:gridCol w:w="3302"/>
        <w:gridCol w:w="4977"/>
      </w:tblGrid>
      <w:tr>
        <w:tc>
          <w:tcPr>
            <w:tcW w:w="3302" w:type="dxa"/>
            <w:tcMar>
              <w:top w:type="dxa" w:w="60"/>
              <w:left w:type="dxa" w:w="120"/>
              <w:bottom w:type="dxa" w:w="30"/>
              <w:right w:type="dxa" w:w="120"/>
            </w:tcMar>
          </w:tcPr>
          <w:p>
            <w:pPr>
              <w:spacing w:before="120" w:after="120" w:line="288" w:lineRule="auto"/>
              <w:ind w:left="0"/>
              <w:jc w:val="center"/>
            </w:pPr>
            <w:r>
              <w:drawing>
                <wp:inline distT="0" distR="0" distB="0" distL="0">
                  <wp:extent cx="1943100" cy="105727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1943100" cy="1057275"/>
                          </a:xfrm>
                          <a:prstGeom prst="rect">
                            <a:avLst/>
                          </a:prstGeom>
                        </pic:spPr>
                      </pic:pic>
                    </a:graphicData>
                  </a:graphic>
                </wp:inline>
              </w:drawing>
            </w:r>
          </w:p>
        </w:tc>
        <w:tc>
          <w:tcPr>
            <w:tcW w:w="4977" w:type="dxa"/>
            <w:tcMar>
              <w:top w:type="dxa" w:w="60"/>
              <w:left w:type="dxa" w:w="120"/>
              <w:bottom w:type="dxa" w:w="30"/>
              <w:right w:type="dxa" w:w="120"/>
            </w:tcMar>
          </w:tcPr>
          <w:p>
            <w:pPr>
              <w:spacing w:before="120" w:after="120" w:line="288" w:lineRule="auto"/>
              <w:ind w:left="0"/>
              <w:jc w:val="center"/>
            </w:pPr>
            <w:r>
              <w:drawing>
                <wp:inline distT="0" distR="0" distB="0" distL="0">
                  <wp:extent cx="3000375" cy="10858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3000375" cy="1085850"/>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hyperlink r:id="rId26">
        <w:r>
          <w:rPr>
            <w:rFonts w:eastAsia="等线" w:ascii="Arial" w:cs="Arial" w:hAnsi="Arial"/>
            <w:color w:val="3370ff"/>
            <w:sz w:val="22"/>
          </w:rPr>
          <w:t>【施华蔻】赛马复盘0105 副本AI用</w:t>
        </w:r>
      </w:hyperlink>
    </w:p>
    <w:p>
      <w:pPr>
        <w:spacing w:before="120" w:after="120" w:line="288" w:lineRule="auto"/>
        <w:ind w:left="0"/>
        <w:jc w:val="left"/>
      </w:pPr>
      <w:hyperlink r:id="rId27">
        <w:r>
          <w:rPr>
            <w:rFonts w:eastAsia="等线" w:ascii="Arial" w:cs="Arial" w:hAnsi="Arial"/>
            <w:color w:val="3370ff"/>
            <w:sz w:val="22"/>
          </w:rPr>
          <w:t>云图SOP汇总整理版_V2</w:t>
        </w:r>
      </w:hyperlink>
    </w:p>
    <w:sectPr>
      <w:footerReference w:type="default" r:id="rId3"/>
      <w:headerReference w:type="default" r:id="rId2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马田野 2167"/>
          <v:fill opacity="0.3"/>
        </v:shape>
      </w:pict>
    </w:r>
  </w:p>
</w:hdr>
</file>

<file path=word/numbering.xml><?xml version="1.0" encoding="utf-8"?>
<w:numbering xmlns:w="http://schemas.openxmlformats.org/wordprocessingml/2006/main">
  <w:abstractNum w:abstractNumId="61622">
    <w:lvl>
      <w:numFmt w:val="bullet"/>
      <w:suff w:val="tab"/>
      <w:lvlText w:val="•"/>
      <w:rPr>
        <w:color w:val="3370ff"/>
      </w:rPr>
    </w:lvl>
  </w:abstractNum>
  <w:abstractNum w:abstractNumId="61623">
    <w:lvl>
      <w:numFmt w:val="bullet"/>
      <w:suff w:val="tab"/>
      <w:lvlText w:val="•"/>
      <w:rPr>
        <w:color w:val="3370ff"/>
      </w:rPr>
    </w:lvl>
  </w:abstractNum>
  <w:abstractNum w:abstractNumId="61624">
    <w:lvl>
      <w:numFmt w:val="bullet"/>
      <w:suff w:val="tab"/>
      <w:lvlText w:val="•"/>
      <w:rPr>
        <w:color w:val="3370ff"/>
      </w:rPr>
    </w:lvl>
  </w:abstractNum>
  <w:abstractNum w:abstractNumId="61625">
    <w:lvl>
      <w:numFmt w:val="bullet"/>
      <w:suff w:val="tab"/>
      <w:lvlText w:val="•"/>
      <w:rPr>
        <w:color w:val="3370ff"/>
      </w:rPr>
    </w:lvl>
  </w:abstractNum>
  <w:abstractNum w:abstractNumId="61626">
    <w:lvl>
      <w:numFmt w:val="bullet"/>
      <w:suff w:val="tab"/>
      <w:lvlText w:val="•"/>
      <w:rPr>
        <w:color w:val="3370ff"/>
      </w:rPr>
    </w:lvl>
  </w:abstractNum>
  <w:abstractNum w:abstractNumId="61627">
    <w:lvl>
      <w:numFmt w:val="bullet"/>
      <w:suff w:val="tab"/>
      <w:lvlText w:val="•"/>
      <w:rPr>
        <w:color w:val="3370ff"/>
      </w:rPr>
    </w:lvl>
  </w:abstractNum>
  <w:abstractNum w:abstractNumId="61628">
    <w:lvl>
      <w:numFmt w:val="bullet"/>
      <w:suff w:val="tab"/>
      <w:lvlText w:val="•"/>
      <w:rPr>
        <w:color w:val="3370ff"/>
      </w:rPr>
    </w:lvl>
  </w:abstractNum>
  <w:abstractNum w:abstractNumId="61629">
    <w:lvl>
      <w:numFmt w:val="bullet"/>
      <w:suff w:val="tab"/>
      <w:lvlText w:val="•"/>
      <w:rPr>
        <w:color w:val="3370ff"/>
      </w:rPr>
    </w:lvl>
  </w:abstractNum>
  <w:abstractNum w:abstractNumId="61630">
    <w:lvl>
      <w:numFmt w:val="bullet"/>
      <w:suff w:val="tab"/>
      <w:lvlText w:val="•"/>
      <w:rPr>
        <w:color w:val="3370ff"/>
      </w:rPr>
    </w:lvl>
  </w:abstractNum>
  <w:abstractNum w:abstractNumId="61631">
    <w:lvl>
      <w:numFmt w:val="bullet"/>
      <w:suff w:val="tab"/>
      <w:lvlText w:val="•"/>
      <w:rPr>
        <w:color w:val="3370ff"/>
      </w:rPr>
    </w:lvl>
  </w:abstractNum>
  <w:abstractNum w:abstractNumId="61632">
    <w:lvl>
      <w:numFmt w:val="bullet"/>
      <w:suff w:val="tab"/>
      <w:lvlText w:val="•"/>
      <w:rPr>
        <w:color w:val="3370ff"/>
      </w:rPr>
    </w:lvl>
  </w:abstractNum>
  <w:abstractNum w:abstractNumId="61633">
    <w:lvl>
      <w:numFmt w:val="bullet"/>
      <w:suff w:val="tab"/>
      <w:lvlText w:val="•"/>
      <w:rPr>
        <w:color w:val="3370ff"/>
      </w:rPr>
    </w:lvl>
  </w:abstractNum>
  <w:abstractNum w:abstractNumId="61634">
    <w:lvl>
      <w:numFmt w:val="bullet"/>
      <w:suff w:val="tab"/>
      <w:lvlText w:val="•"/>
      <w:rPr>
        <w:color w:val="3370ff"/>
      </w:rPr>
    </w:lvl>
  </w:abstractNum>
  <w:abstractNum w:abstractNumId="61635">
    <w:lvl>
      <w:numFmt w:val="bullet"/>
      <w:suff w:val="tab"/>
      <w:lvlText w:val="•"/>
      <w:rPr>
        <w:color w:val="3370ff"/>
      </w:rPr>
    </w:lvl>
  </w:abstractNum>
  <w:abstractNum w:abstractNumId="61636">
    <w:lvl>
      <w:numFmt w:val="bullet"/>
      <w:suff w:val="tab"/>
      <w:lvlText w:val="•"/>
      <w:rPr>
        <w:color w:val="3370ff"/>
      </w:rPr>
    </w:lvl>
  </w:abstractNum>
  <w:abstractNum w:abstractNumId="61637">
    <w:lvl>
      <w:numFmt w:val="bullet"/>
      <w:suff w:val="tab"/>
      <w:lvlText w:val="•"/>
      <w:rPr>
        <w:color w:val="3370ff"/>
      </w:rPr>
    </w:lvl>
  </w:abstractNum>
  <w:abstractNum w:abstractNumId="61638">
    <w:lvl>
      <w:numFmt w:val="bullet"/>
      <w:suff w:val="tab"/>
      <w:lvlText w:val="•"/>
      <w:rPr>
        <w:color w:val="3370ff"/>
      </w:rPr>
    </w:lvl>
  </w:abstractNum>
  <w:abstractNum w:abstractNumId="61639">
    <w:lvl>
      <w:numFmt w:val="bullet"/>
      <w:suff w:val="tab"/>
      <w:lvlText w:val="•"/>
      <w:rPr>
        <w:color w:val="3370ff"/>
      </w:rPr>
    </w:lvl>
  </w:abstractNum>
  <w:abstractNum w:abstractNumId="61640">
    <w:lvl>
      <w:numFmt w:val="bullet"/>
      <w:suff w:val="tab"/>
      <w:lvlText w:val="•"/>
      <w:rPr>
        <w:color w:val="3370ff"/>
      </w:rPr>
    </w:lvl>
  </w:abstractNum>
  <w:abstractNum w:abstractNumId="61641">
    <w:lvl>
      <w:numFmt w:val="bullet"/>
      <w:suff w:val="tab"/>
      <w:lvlText w:val="•"/>
      <w:rPr>
        <w:color w:val="3370ff"/>
      </w:rPr>
    </w:lvl>
  </w:abstractNum>
  <w:abstractNum w:abstractNumId="61642">
    <w:lvl>
      <w:numFmt w:val="bullet"/>
      <w:suff w:val="tab"/>
      <w:lvlText w:val="•"/>
      <w:rPr>
        <w:color w:val="3370ff"/>
      </w:rPr>
    </w:lvl>
  </w:abstractNum>
  <w:abstractNum w:abstractNumId="61643">
    <w:lvl>
      <w:numFmt w:val="bullet"/>
      <w:suff w:val="tab"/>
      <w:lvlText w:val="•"/>
      <w:rPr>
        <w:color w:val="3370ff"/>
      </w:rPr>
    </w:lvl>
  </w:abstractNum>
  <w:abstractNum w:abstractNumId="61644">
    <w:lvl>
      <w:numFmt w:val="bullet"/>
      <w:suff w:val="tab"/>
      <w:lvlText w:val="•"/>
      <w:rPr>
        <w:color w:val="3370ff"/>
      </w:rPr>
    </w:lvl>
  </w:abstractNum>
  <w:abstractNum w:abstractNumId="61645">
    <w:lvl>
      <w:numFmt w:val="bullet"/>
      <w:suff w:val="tab"/>
      <w:lvlText w:val="•"/>
      <w:rPr>
        <w:color w:val="3370ff"/>
      </w:rPr>
    </w:lvl>
  </w:abstractNum>
  <w:abstractNum w:abstractNumId="61646">
    <w:lvl>
      <w:numFmt w:val="bullet"/>
      <w:suff w:val="tab"/>
      <w:lvlText w:val="•"/>
      <w:rPr>
        <w:color w:val="3370ff"/>
      </w:rPr>
    </w:lvl>
  </w:abstractNum>
  <w:num w:numId="1">
    <w:abstractNumId w:val="61622"/>
  </w:num>
  <w:num w:numId="2">
    <w:abstractNumId w:val="61623"/>
  </w:num>
  <w:num w:numId="3">
    <w:abstractNumId w:val="61624"/>
  </w:num>
  <w:num w:numId="4">
    <w:abstractNumId w:val="61625"/>
  </w:num>
  <w:num w:numId="5">
    <w:abstractNumId w:val="61626"/>
  </w:num>
  <w:num w:numId="6">
    <w:abstractNumId w:val="61627"/>
  </w:num>
  <w:num w:numId="7">
    <w:abstractNumId w:val="61628"/>
  </w:num>
  <w:num w:numId="8">
    <w:abstractNumId w:val="61629"/>
  </w:num>
  <w:num w:numId="9">
    <w:abstractNumId w:val="61630"/>
  </w:num>
  <w:num w:numId="10">
    <w:abstractNumId w:val="61631"/>
  </w:num>
  <w:num w:numId="11">
    <w:abstractNumId w:val="61632"/>
  </w:num>
  <w:num w:numId="12">
    <w:abstractNumId w:val="61633"/>
  </w:num>
  <w:num w:numId="13">
    <w:abstractNumId w:val="61634"/>
  </w:num>
  <w:num w:numId="14">
    <w:abstractNumId w:val="61635"/>
  </w:num>
  <w:num w:numId="15">
    <w:abstractNumId w:val="61636"/>
  </w:num>
  <w:num w:numId="16">
    <w:abstractNumId w:val="61637"/>
  </w:num>
  <w:num w:numId="17">
    <w:abstractNumId w:val="61638"/>
  </w:num>
  <w:num w:numId="18">
    <w:abstractNumId w:val="61639"/>
  </w:num>
  <w:num w:numId="19">
    <w:abstractNumId w:val="61640"/>
  </w:num>
  <w:num w:numId="20">
    <w:abstractNumId w:val="61641"/>
  </w:num>
  <w:num w:numId="21">
    <w:abstractNumId w:val="61642"/>
  </w:num>
  <w:num w:numId="22">
    <w:abstractNumId w:val="61643"/>
  </w:num>
  <w:num w:numId="23">
    <w:abstractNumId w:val="61644"/>
  </w:num>
  <w:num w:numId="24">
    <w:abstractNumId w:val="61645"/>
  </w:num>
  <w:num w:numId="25">
    <w:abstractNumId w:val="6164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https://k74u68pb5x.feishu.cn/wiki/NYapws27IiFDZzklRMKckkhSnGd?sheet=Lpu2Kf" TargetMode="External" Type="http://schemas.openxmlformats.org/officeDocument/2006/relationships/hyperlink"/><Relationship Id="rId27" Target="https://k74u68pb5x.feishu.cn/wiki/AKlzwSR6fiY95Kky7elcLoZ2n5g" TargetMode="External" Type="http://schemas.openxmlformats.org/officeDocument/2006/relationships/hyperlink"/><Relationship Id="rId28" Target="header1.xml" Type="http://schemas.openxmlformats.org/officeDocument/2006/relationships/header"/><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numbering.xml" Type="http://schemas.openxmlformats.org/officeDocument/2006/relationships/numbering"/><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2026-01-27T02:12:19Z</dcterms:created>
  <dc:creator>Apache POI</dc:creator>
</cp:coreProperties>
</file>