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Diccionario de Datos Señales Viales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Señales Horizontales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Tramo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ACH -&gt; Achurado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BS -&gt; Banda Sonora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EP -&gt; Estoperoles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TR -&gt; Tacha Reflectiva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FDD-C -&gt;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FDG-C -&gt;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FF-C -&gt;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FFC -&gt;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FGD-C -&gt; Flecha de Giro Derecha Ciclorruta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FGI-C -&gt; Flecha Giro Izquierda Ciclorruta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FIC -&gt;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LB-C -&gt; Línea de Borde Ciclorruta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LB -&gt; Línea de Borde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LCA-C -&gt; Linea Carril Ciclorruta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LCA -&gt;  Línea Carril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LCM -&gt; Linea Camellon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LIC -&gt; Línea Inicio Fin de Carril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LL -&gt; Linea Logarítmica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PAB -&gt; Paradero Autobús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PBB -&gt; Pictograma Bicicleta Bidireccional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PBICI -&gt;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PCC -&gt;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PCP -&gt;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PD -&gt;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PE -&gt; Pictograma Escolar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PPC -&gt;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PPP -&gt; Pictograma Prohibido Parquear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PSB -&gt; Pictograma Solo Bus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PSI16 -&gt;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PSI25 -&gt;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PSP47A -&gt;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PSR34 -&gt;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PSR42 -&gt;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PTEX -&gt;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PZE -&gt; Pictograma Zona Escolar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PZP -&gt;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RCIRCD -&gt;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RE -&gt; Resalto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RTC -&gt;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RV -&gt; Reductor Velocidad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RVM -&gt;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SPT -&gt; Sendero Peatonal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TCH -&gt; Tachones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VCC -&gt;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VMP -&gt;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DS -&gt; Demarcación de Sardinel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PT -&gt; Pictograma Triángulo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Intersección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CP -&gt; Ceda el Paso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DVM -&gt;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EP -&gt; Estoperoles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FDD -&gt; Flecha Doble Derecha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FDG -&gt; Flecha Doble Giro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FDI -&gt; Flecha Doble Izquierda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FF -&gt; Flecha de Frente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FGD -&gt; Flecha Giro Derecha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FGI -&gt; Flecha Giro Izquierdo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FT -&gt; Flecha Triple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LCP -&gt; Línea Ceda el Paso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LP -&gt; Línea de Pare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LPA-C -&gt; Línea de Parada Ciclorruta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LPA -&gt; Línea de Parada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PBU -&gt; Pictograma Bicicleta Unidireccional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PC -&gt; Pictograma Cuadrado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PCF -&gt;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PP -&gt; Pasos Peatonales Cebra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PPARE -&gt;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PPC -&gt; Paso Peatonal Cicloruta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PSI05D -&gt;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PSI16 -&gt;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PSI25 -&gt;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PSR42 -&gt;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PSRC05 -&gt;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RE -&gt; Resalto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SPT -&gt; Sendero Peatonal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ZB -&gt; Zona Bloqueo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ZBC -&gt;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TR -&gt; Tacha Reflectiva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DS -&gt; Demarcación de Sardinel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PT -&gt; Pictograma Triángulo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LP-C -&gt; Línea de Pare Ciclorruta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SIn Clasificar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BA -&gt;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BL -&gt;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HV -&gt;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LA -&gt; Línea de Aguja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LC -&gt; Línea Central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LCE -&gt;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LCN -&gt; Línea de Canal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LE -&gt;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PPPE -&gt;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PSI11 -&gt;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PSOLO -&gt; Pictograma Solo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RPA -&gt;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