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720000" cy="532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3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黑体" w:hAnsi="黑体" w:eastAsia="黑体"/>
          <w:b/>
          <w:color w:val="1F4D78"/>
          <w:sz w:val="48"/>
        </w:rPr>
        <w:t>织慧通智能纺织生产与质量管理系统</w:t>
      </w:r>
    </w:p>
    <w:p>
      <w:pPr>
        <w:pStyle w:val="Subtitle"/>
        <w:jc w:val="center"/>
      </w:pPr>
      <w:r>
        <w:rPr>
          <w:rFonts w:ascii="宋体" w:hAnsi="宋体" w:eastAsia="宋体"/>
          <w:b w:val="0"/>
          <w:color w:val="667085"/>
          <w:sz w:val="28"/>
        </w:rPr>
        <w:t>V1.0 用户操作手册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color w:val="1F2937"/>
          <w:sz w:val="21"/>
        </w:rPr>
        <w:t>本手册用于说明系统主要功能、标准操作流程和常见问题处理方法，适用于管理员及各业务角色。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1"/>
        <w:gridCol w:w="7484"/>
      </w:tblGrid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74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软件名称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织慧通智能纺织生产与质量管理系统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软件版本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V1.0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文档类型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用户操作手册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适用角色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管理员、订单管理员、来料管理员、工艺工程师、排产员、质检员、质量主管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编写依据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当前运行系统界面、项目开发文档及实际业务流程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文档状态</w:t>
            </w:r>
          </w:p>
        </w:tc>
        <w:tc>
          <w:tcPr>
            <w:tcW w:type="dxa" w:w="748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正式操作说明稿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使用提示：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系统菜单和数据范围由角色权限决定。不同账号看到的功能可能不同，本文以管理员账号和当前项目数据为例。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  <w:jc w:val="center"/>
      </w:pPr>
      <w:r>
        <w:rPr>
          <w:rFonts w:ascii="黑体" w:hAnsi="黑体" w:eastAsia="黑体"/>
          <w:b/>
          <w:color w:val="1F4D78"/>
          <w:sz w:val="36"/>
        </w:rPr>
        <w:t>目录</w:t>
      </w:r>
    </w:p>
    <w:p>
      <w:pPr>
        <w:spacing w:after="240"/>
      </w:pPr>
      <w:r>
        <w:rPr>
          <w:rFonts w:ascii="宋体" w:hAnsi="宋体" w:eastAsia="宋体"/>
          <w:b w:val="0"/>
          <w:color w:val="1F2937"/>
          <w:sz w:val="21"/>
        </w:rPr>
        <w:t>本手册按系统实际操作顺序编排，页码与正文保持一致。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第一章 使用说明</w:t>
      </w:r>
      <w:r>
        <w:rPr>
          <w:rFonts w:ascii="宋体" w:hAnsi="宋体" w:eastAsia="宋体"/>
          <w:b w:val="0"/>
          <w:color w:val="1F2937"/>
          <w:sz w:val="21"/>
        </w:rPr>
        <w:tab/>
        <w:t>3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1.1 系统定位</w:t>
      </w:r>
      <w:r>
        <w:rPr>
          <w:rFonts w:ascii="宋体" w:hAnsi="宋体" w:eastAsia="宋体"/>
          <w:b w:val="0"/>
          <w:color w:val="1F2937"/>
          <w:sz w:val="21"/>
        </w:rPr>
        <w:tab/>
        <w:t>3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1.2 角色与操作边界</w:t>
      </w:r>
      <w:r>
        <w:rPr>
          <w:rFonts w:ascii="宋体" w:hAnsi="宋体" w:eastAsia="宋体"/>
          <w:b w:val="0"/>
          <w:color w:val="1F2937"/>
          <w:sz w:val="21"/>
        </w:rPr>
        <w:tab/>
        <w:t>3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第二章 登录与基础操作</w:t>
      </w:r>
      <w:r>
        <w:rPr>
          <w:rFonts w:ascii="宋体" w:hAnsi="宋体" w:eastAsia="宋体"/>
          <w:b w:val="0"/>
          <w:color w:val="1F2937"/>
          <w:sz w:val="21"/>
        </w:rPr>
        <w:tab/>
        <w:t>4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2.1 登录系统</w:t>
      </w:r>
      <w:r>
        <w:rPr>
          <w:rFonts w:ascii="宋体" w:hAnsi="宋体" w:eastAsia="宋体"/>
          <w:b w:val="0"/>
          <w:color w:val="1F2937"/>
          <w:sz w:val="21"/>
        </w:rPr>
        <w:tab/>
        <w:t>4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2.2 首页看板</w:t>
      </w:r>
      <w:r>
        <w:rPr>
          <w:rFonts w:ascii="宋体" w:hAnsi="宋体" w:eastAsia="宋体"/>
          <w:b w:val="0"/>
          <w:color w:val="1F2937"/>
          <w:sz w:val="21"/>
        </w:rPr>
        <w:tab/>
        <w:t>4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2.3 通用页面操作</w:t>
      </w:r>
      <w:r>
        <w:rPr>
          <w:rFonts w:ascii="宋体" w:hAnsi="宋体" w:eastAsia="宋体"/>
          <w:b w:val="0"/>
          <w:color w:val="1F2937"/>
          <w:sz w:val="21"/>
        </w:rPr>
        <w:tab/>
        <w:t>5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第三章 生产与排产管理</w:t>
      </w:r>
      <w:r>
        <w:rPr>
          <w:rFonts w:ascii="宋体" w:hAnsi="宋体" w:eastAsia="宋体"/>
          <w:b w:val="0"/>
          <w:color w:val="1F2937"/>
          <w:sz w:val="21"/>
        </w:rPr>
        <w:tab/>
        <w:t>6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3.1 订单、批次与工艺管理</w:t>
      </w:r>
      <w:r>
        <w:rPr>
          <w:rFonts w:ascii="宋体" w:hAnsi="宋体" w:eastAsia="宋体"/>
          <w:b w:val="0"/>
          <w:color w:val="1F2937"/>
          <w:sz w:val="21"/>
        </w:rPr>
        <w:tab/>
        <w:t>6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3.2 生产计划与智能排产</w:t>
      </w:r>
      <w:r>
        <w:rPr>
          <w:rFonts w:ascii="宋体" w:hAnsi="宋体" w:eastAsia="宋体"/>
          <w:b w:val="0"/>
          <w:color w:val="1F2937"/>
          <w:sz w:val="21"/>
        </w:rPr>
        <w:tab/>
        <w:t>7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第四章 质量检测与追溯</w:t>
      </w:r>
      <w:r>
        <w:rPr>
          <w:rFonts w:ascii="宋体" w:hAnsi="宋体" w:eastAsia="宋体"/>
          <w:b w:val="0"/>
          <w:color w:val="1F2937"/>
          <w:sz w:val="21"/>
        </w:rPr>
        <w:tab/>
        <w:t>9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4.1 质量任务与 AI 质检</w:t>
      </w:r>
      <w:r>
        <w:rPr>
          <w:rFonts w:ascii="宋体" w:hAnsi="宋体" w:eastAsia="宋体"/>
          <w:b w:val="0"/>
          <w:color w:val="1F2937"/>
          <w:sz w:val="21"/>
        </w:rPr>
        <w:tab/>
        <w:t>9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4.2 AI 质检分析</w:t>
      </w:r>
      <w:r>
        <w:rPr>
          <w:rFonts w:ascii="宋体" w:hAnsi="宋体" w:eastAsia="宋体"/>
          <w:b w:val="0"/>
          <w:color w:val="1F2937"/>
          <w:sz w:val="21"/>
        </w:rPr>
        <w:tab/>
        <w:t>9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4.3 结果复核、异常处理与追溯</w:t>
      </w:r>
      <w:r>
        <w:rPr>
          <w:rFonts w:ascii="宋体" w:hAnsi="宋体" w:eastAsia="宋体"/>
          <w:b w:val="0"/>
          <w:color w:val="1F2937"/>
          <w:sz w:val="21"/>
        </w:rPr>
        <w:tab/>
        <w:t>11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第五章 系统管理与问题处理</w:t>
      </w:r>
      <w:r>
        <w:rPr>
          <w:rFonts w:ascii="宋体" w:hAnsi="宋体" w:eastAsia="宋体"/>
          <w:b w:val="0"/>
          <w:color w:val="1F2937"/>
          <w:sz w:val="21"/>
        </w:rPr>
        <w:tab/>
        <w:t>12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5.1 用户、角色与权限</w:t>
      </w:r>
      <w:r>
        <w:rPr>
          <w:rFonts w:ascii="宋体" w:hAnsi="宋体" w:eastAsia="宋体"/>
          <w:b w:val="0"/>
          <w:color w:val="1F2937"/>
          <w:sz w:val="21"/>
        </w:rPr>
        <w:tab/>
        <w:t>12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5.2 常见问题与运行维护</w:t>
      </w:r>
      <w:r>
        <w:rPr>
          <w:rFonts w:ascii="宋体" w:hAnsi="宋体" w:eastAsia="宋体"/>
          <w:b w:val="0"/>
          <w:color w:val="1F2937"/>
          <w:sz w:val="21"/>
        </w:rPr>
        <w:tab/>
        <w:t>13</w:t>
      </w:r>
    </w:p>
    <w:p>
      <w:pPr>
        <w:tabs>
          <w:tab w:pos="9184" w:val="right" w:leader="dot"/>
        </w:tabs>
        <w:spacing w:after="60" w:line="276" w:lineRule="auto"/>
        <w:ind w:left="482" w:hanging="198"/>
      </w:pPr>
      <w:r>
        <w:rPr>
          <w:rFonts w:ascii="宋体" w:hAnsi="宋体" w:eastAsia="宋体"/>
          <w:b w:val="0"/>
          <w:color w:val="1F2937"/>
          <w:sz w:val="21"/>
        </w:rPr>
        <w:t>5.3 运行检查清单</w:t>
      </w:r>
      <w:r>
        <w:rPr>
          <w:rFonts w:ascii="宋体" w:hAnsi="宋体" w:eastAsia="宋体"/>
          <w:b w:val="0"/>
          <w:color w:val="1F2937"/>
          <w:sz w:val="21"/>
        </w:rPr>
        <w:tab/>
        <w:t>13</w:t>
      </w:r>
    </w:p>
    <w:p>
      <w:pPr>
        <w:tabs>
          <w:tab w:pos="9184" w:val="right" w:leader="dot"/>
        </w:tabs>
        <w:spacing w:after="100" w:line="276" w:lineRule="auto"/>
        <w:ind w:left="0" w:firstLine="0"/>
      </w:pPr>
      <w:r>
        <w:rPr>
          <w:rFonts w:ascii="黑体" w:hAnsi="黑体" w:eastAsia="黑体"/>
          <w:b/>
          <w:color w:val="1F4D78"/>
          <w:sz w:val="23"/>
        </w:rPr>
        <w:t>附录 状态值与判定说明</w:t>
      </w:r>
      <w:r>
        <w:rPr>
          <w:rFonts w:ascii="宋体" w:hAnsi="宋体" w:eastAsia="宋体"/>
          <w:b w:val="0"/>
          <w:color w:val="1F2937"/>
          <w:sz w:val="21"/>
        </w:rPr>
        <w:tab/>
        <w:t>14</w:t>
      </w: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第一章 使用说明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1.1 系统定位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织慧通是面向纺织生产场景的 SaaS 管理系统，围绕订单、来料批次、工艺路线、生产排产、质量检测、异常闭环和质量追溯建立统一业务入口。</w:t>
      </w:r>
    </w:p>
    <w:p>
      <w:pPr/>
      <w:r>
        <w:rPr>
          <w:rFonts w:ascii="宋体" w:hAnsi="宋体" w:eastAsia="宋体"/>
          <w:b/>
          <w:color w:val="1F4D78"/>
          <w:sz w:val="21"/>
        </w:rPr>
        <w:t>核心业务链路：</w:t>
      </w:r>
      <w:r>
        <w:rPr>
          <w:rFonts w:ascii="宋体" w:hAnsi="宋体" w:eastAsia="宋体"/>
          <w:b w:val="0"/>
          <w:color w:val="1F2937"/>
          <w:sz w:val="21"/>
        </w:rPr>
        <w:t>订单 → 批次 → 工艺 → 生产计划 → 工序计划 → 质检结果 → 异常处理 → 返工/CAPA → 质量追溯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1.2 角色与操作边界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41"/>
        <w:gridCol w:w="7144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主要职责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超级管理员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用户、角色、菜单、部门、岗位及全部业务数据管理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订单管理员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订单、订单明细、批次分配及订单进度维护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来料管理员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来料资源、批次主数据、IQC 任务和放行决策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工艺工程师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工艺路线、工序、设备能力和缺陷类别维护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排产员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订单排产、生产计划、工序调度和 AI 排产建议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质检员/质量主管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实时质检、结果复核、异常闭环、返工和质量分析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权限原则：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用户只能操作被授予的菜单、按钮和数据范围。管理员进行权限变更后，应使用目标账号重新登录验证。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第二章 登录与基础操作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2.1 登录系统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在浏览器中打开系统地址，进入登录页面。输入用户名、密码和验证码后，单击“登录系统”。验证码由系统生成并在有效期内使用。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打开系统访问地址，确认页面显示“织慧通”标识和账号登录表单。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输入已分配的用户名和密码，按验证码图片填写验证码。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单击“登录系统”，验证通过后进入系统看板。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2-1 账号登录页面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安全提示：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不要在公共电脑保存密码。连续登录失败、验证码过期或会话失效时，请刷新验证码后重新登录。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2.2 首页看板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登录后默认进入看板页面。页面顶部展示待检批次、异常拒收数、本周放行率和排产池负荷等指标；下方展示实时质检动态、即将排产任务、异常概览和计划概览。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2-2 系统首页看板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2.3 通用页面操作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使用左侧导航进入订单、来料、工艺、排产、质量和系统管理模块。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列表页面先填写筛选条件，再单击“查询”；单击“重置”清除当前筛选条件。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新增或编辑数据时按表单提示填写必填项，提交后根据提示确认操作结果。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列表底部可使用分页控件切换数据页；删除、关闭、放行等操作需要再次确认。</w:t>
      </w: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第三章 生产与排产管理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3.1 订单、批次与工艺管理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订单是生产业务的起点。订单管理员可按订单号、客户、状态和交期查询订单，并通过订单详情查看明细、批次和执行进度。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进入“订单管理”，使用订单号、客户、状态或交期筛选订单。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单击“新建订单”，填写客户、交期、优先级、订单明细和备注。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保存订单后进入详情，完成订单明细和来料批次分配。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4.  </w:t>
      </w:r>
      <w:r>
        <w:rPr>
          <w:rFonts w:ascii="宋体" w:hAnsi="宋体" w:eastAsia="宋体"/>
          <w:b w:val="0"/>
          <w:color w:val="1F2937"/>
          <w:sz w:val="21"/>
        </w:rPr>
        <w:t>确认数据无误后，将订单提交到排产池，供后续生产计划使用。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3-1 订单管理页面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3.1（续）来料、工艺与设备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来料资源用于记录可生产的胚布批次；工艺中心维护工艺路线、工序和设备能力；设备状态用于支撑排产约束和生产调度。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41"/>
        <w:gridCol w:w="7144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操作重点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来料资源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维护批次、规格、颜色、数量及 IQC 状态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工艺路线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维护工序顺序、标准工时和工艺要求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设备管理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维护设备能力、所属工序和 IDLE/RUNNING 等状态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缺陷类别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维护质检模型使用的缺陷类别和业务说明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操作顺序：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在创建生产计划前，应先确认订单、批次、工艺路线和设备能力数据完整，否则排产和工序计划可能无法生成。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3.2 生产计划与智能排产</w:t>
      </w:r>
    </w:p>
    <w:p>
      <w:pPr>
        <w:pStyle w:val="Heading3"/>
        <w:keepNext/>
      </w:pPr>
      <w:r>
        <w:rPr>
          <w:rFonts w:ascii="黑体" w:hAnsi="黑体" w:eastAsia="黑体"/>
          <w:b/>
          <w:color w:val="1F2937"/>
          <w:sz w:val="23"/>
        </w:rPr>
        <w:t>3.2.1 创建生产计划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生产计划将订单批次转换为可执行的生产任务，并依据工艺路线拆分为工序计划。每个工序计划包含设备、开始时间、结束时间、工时和执行状态。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进入“排产管理—生产计划”，单击“新建计划”。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选择订单、批次、工艺路线和计划开始时间，确认计划数量。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保存后检查工序计划、设备分配和时间安排。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4.  </w:t>
      </w:r>
      <w:r>
        <w:rPr>
          <w:rFonts w:ascii="宋体" w:hAnsi="宋体" w:eastAsia="宋体"/>
          <w:b w:val="0"/>
          <w:color w:val="1F2937"/>
          <w:sz w:val="21"/>
        </w:rPr>
        <w:t>根据生产现场情况修改、重排或查看甘特图。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3-2 生产计划页面</w:t>
      </w:r>
    </w:p>
    <w:p>
      <w:pPr>
        <w:pStyle w:val="Heading3"/>
        <w:keepNext/>
      </w:pPr>
      <w:r>
        <w:rPr>
          <w:rFonts w:ascii="黑体" w:hAnsi="黑体" w:eastAsia="黑体"/>
          <w:b/>
          <w:color w:val="1F2937"/>
          <w:sz w:val="23"/>
        </w:rPr>
        <w:t>3.2.2 AI 智能排产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AI 智能排产由算法引擎生成候选方案，DeepSeek 负责对方案进行解释。系统不会直接替代人工确认，排产员应结合交期、设备状态和现场约束审核后再应用。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进入“排产管理—AI智能排产”，选择需要优化的生产计划。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单击“生成三套方案”，等待算法生成候选方案。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比较交期优先、设备利用率优先等方案的指标和说明。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4.  </w:t>
      </w:r>
      <w:r>
        <w:rPr>
          <w:rFonts w:ascii="宋体" w:hAnsi="宋体" w:eastAsia="宋体"/>
          <w:b w:val="0"/>
          <w:color w:val="1F2937"/>
          <w:sz w:val="21"/>
        </w:rPr>
        <w:t>确认方案适合现场条件后，执行应用或返回生产计划继续调整。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sched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3-3 AI 智能排产建议页面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使用边界：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算法负责计算可行排产方案，大模型负责解释方案；最终应用前必须由排产员确认设备状态、物料和交期条件。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第四章 质量检测与追溯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4.1 质量任务与 AI 质检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质量管理模块支持实时视频检测和单张图片检测。浏览器优先使用 WebGPU，无法使用时回退到 WASM；检测结果由前端展示，后端负责模型契约、模型摘要、类别、坐标和业务数据校验。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进入“质量管理—实时质检”，确认模型和本地推理状态正常。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实时检测时单击“开始检测”，允许浏览器使用摄像头。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单张图片检测时选择图片，单击“上传并检测”，等待结果生成。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4.  </w:t>
      </w:r>
      <w:r>
        <w:rPr>
          <w:rFonts w:ascii="宋体" w:hAnsi="宋体" w:eastAsia="宋体"/>
          <w:b w:val="0"/>
          <w:color w:val="1F2937"/>
          <w:sz w:val="21"/>
        </w:rPr>
        <w:t>检查缺陷框、缺陷类别、置信度和 PASS/FAIL/RECHECK 结果。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5.  </w:t>
      </w:r>
      <w:r>
        <w:rPr>
          <w:rFonts w:ascii="宋体" w:hAnsi="宋体" w:eastAsia="宋体"/>
          <w:b w:val="0"/>
          <w:color w:val="1F2937"/>
          <w:sz w:val="21"/>
        </w:rPr>
        <w:t>确认结果后保存当前帧或进入质量记录，必要时发起异常处理。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ality-real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4-1 实时质检页面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4.2 AI 质检分析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AI 质检分析以已经保存的质检记录为输入，结合缺陷类型、严重程度、样本数量和缺陷率生成风险分析与文字报告。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进入“质量管理—AI质检分析”，从下拉列表选择质检记录。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核对记录时间、判定结果和检测置信度后，单击“生成分析报告”。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阅读风险等级、趋势和根因辅助分析，并结合现场情况作出处理决定。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ality-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4-2 AI 质检分析页面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结果说明：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AI 分析用于辅助判断，不替代质检人员复核；最终放行、返工和异常关闭应以业务审核结果为准。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4.3 结果复核、异常处理与追溯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质检失败或人工发现异常后，应创建异常记录，指定处理人并跟踪状态。需要返工时创建返工任务，完成后关闭异常，形成完整追溯链。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quality-nc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4-3 异常闭环页面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41"/>
        <w:gridCol w:w="7144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处理要求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创建异常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填写工序计划、异常类型、等级、描述和相关质检记录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处理异常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记录原因、处理结果和责任信息，必要时创建返工任务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复核关闭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确认处理结果、返工结果和附件后关闭异常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追溯查询</w:t>
            </w:r>
          </w:p>
        </w:tc>
        <w:tc>
          <w:tcPr>
            <w:tcW w:type="dxa" w:w="7144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通过质检记录、异常记录、返工记录和 CAPA 查看完整过程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第五章 系统管理与问题处理</w:t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5.1 用户、角色与权限</w:t>
      </w:r>
    </w:p>
    <w:p>
      <w:pPr>
        <w:spacing w:after="120"/>
      </w:pPr>
      <w:r>
        <w:rPr>
          <w:rFonts w:ascii="宋体" w:hAnsi="宋体" w:eastAsia="宋体"/>
          <w:b w:val="0"/>
          <w:color w:val="1F2937"/>
          <w:sz w:val="21"/>
        </w:rPr>
        <w:t>系统管理用于维护登录用户、角色和数据权限。管理员应按照最小权限原则分配菜单、按钮和数据范围，业务人员只访问与岗位相关的功能。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1.  </w:t>
      </w:r>
      <w:r>
        <w:rPr>
          <w:rFonts w:ascii="宋体" w:hAnsi="宋体" w:eastAsia="宋体"/>
          <w:b w:val="0"/>
          <w:color w:val="1F2937"/>
          <w:sz w:val="21"/>
        </w:rPr>
        <w:t>进入“系统管理—角色管理”，先维护角色名称、状态和数据范围。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2.  </w:t>
      </w:r>
      <w:r>
        <w:rPr>
          <w:rFonts w:ascii="宋体" w:hAnsi="宋体" w:eastAsia="宋体"/>
          <w:b w:val="0"/>
          <w:color w:val="1F2937"/>
          <w:sz w:val="21"/>
        </w:rPr>
        <w:t>在角色权限配置中勾选必要的菜单和操作权限，保存后重新打开角色确认。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3.  </w:t>
      </w:r>
      <w:r>
        <w:rPr>
          <w:rFonts w:ascii="宋体" w:hAnsi="宋体" w:eastAsia="宋体"/>
          <w:b w:val="0"/>
          <w:color w:val="1F2937"/>
          <w:sz w:val="21"/>
        </w:rPr>
        <w:t>进入“系统管理—用户管理”，为用户绑定角色并确认账号状态。</w:t>
      </w:r>
    </w:p>
    <w:p>
      <w:pPr>
        <w:pStyle w:val="ManualStep"/>
      </w:pPr>
      <w:r>
        <w:rPr>
          <w:rFonts w:ascii="宋体" w:hAnsi="宋体" w:eastAsia="宋体"/>
          <w:b w:val="0"/>
          <w:color w:val="1F2937"/>
          <w:sz w:val="21"/>
        </w:rPr>
        <w:t xml:space="preserve">4.  </w:t>
      </w:r>
      <w:r>
        <w:rPr>
          <w:rFonts w:ascii="宋体" w:hAnsi="宋体" w:eastAsia="宋体"/>
          <w:b w:val="0"/>
          <w:color w:val="1F2937"/>
          <w:sz w:val="21"/>
        </w:rPr>
        <w:t>用户岗位发生变化时及时调整角色；停用账号前应确认其负责的订单、质检和异常任务已交接。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ystem-ro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7085"/>
          <w:sz w:val="18"/>
        </w:rPr>
        <w:t>图 5-1 角色管理页面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权限原则：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权限变更应由管理员复核；新权限通常需要重新登录后生效。不要为方便操作而直接授予无关模块的管理权限。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5.2 常见问题与运行维护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81"/>
        <w:gridCol w:w="6747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处理建议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验证码或登录失败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刷新验证码后重试；确认账号状态和密码输入无误，仍失败时检查后端登录接口和缓存服务。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页面提示 502 或无法加载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检查前端服务、后端服务及代理端口是否正常；查看后端日志后再重启对应服务。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AI 模型未就绪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确认模型文件存在、浏览器允许 WebGPU；不支持 WebGPU 时检查 WASM 回退状态和浏览器兼容性。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图片或检测结果打不开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检查上传目录、结果目录和静态文件访问权限，确认文件没有被移动或清理。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AI 分析超时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检查 DeepSeek 服务地址、密钥和网络连通性；业务操作仍可使用本地检测结果完成复核。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摄像头无法使用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确认浏览器已授权摄像头，并检查 HTTPS、设备占用和浏览器页面权限。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1F4D78"/>
          <w:sz w:val="26"/>
        </w:rPr>
        <w:t>5.3 运行检查清单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服务检查：前端、后端、MySQL、Redis 处于运行状态，端口和代理配置一致。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业务检查：管理员可以登录，订单列表、生产计划和质量记录能够正常查询。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模型检查：质检页面显示模型已加载，WebGPU 或 WASM 推理策略可用。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文件检查：上传文件、检测结果和日志目录具有持久化存储和足够空间。</w:t>
      </w:r>
    </w:p>
    <w:p>
      <w:pPr>
        <w:pStyle w:val="ManualBullet"/>
      </w:pPr>
      <w:r>
        <w:rPr>
          <w:rFonts w:ascii="宋体" w:hAnsi="宋体" w:eastAsia="宋体"/>
          <w:b w:val="0"/>
          <w:color w:val="1F2937"/>
          <w:sz w:val="21"/>
        </w:rPr>
        <w:t xml:space="preserve">•  </w:t>
      </w:r>
      <w:r>
        <w:rPr>
          <w:rFonts w:ascii="宋体" w:hAnsi="宋体" w:eastAsia="宋体"/>
          <w:b w:val="0"/>
          <w:color w:val="1F2937"/>
          <w:sz w:val="21"/>
        </w:rPr>
        <w:t>安全检查：生产环境使用 HTTPS，密钥通过环境变量配置，不在页面或文档中明文记录。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维护建议：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升级服务、模型或数据库前先备份配置和业务数据，并在测试环境完成登录、排产、质检和异常闭环验证。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黑体" w:hAnsi="黑体" w:eastAsia="黑体"/>
          <w:b/>
          <w:color w:val="1F4D78"/>
          <w:sz w:val="32"/>
        </w:rPr>
        <w:t>附录 状态值与判定说明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81"/>
        <w:gridCol w:w="6747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术语或状态</w:t>
            </w:r>
          </w:p>
        </w:tc>
        <w:tc>
          <w:tcPr>
            <w:tcW w:type="dxa" w:w="67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含义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PASS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检测结果通过，当前样本满足放行条件。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FAIL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检测结果不通过，需要复核、返工或发起异常处理。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RECHECK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结果需要人工复核或补充检测，暂不直接放行。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IDLE / RUNNING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设备空闲 / 正在执行任务，用于排产和现场调度。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MAINTENANCE / DISABLED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设备维护中 / 已停用，不应安排新的生产任务。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WebGPU / WASM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浏览器推理优先级；WebGPU不可用时回退到WASM。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NCR / CAPA</w:t>
            </w:r>
          </w:p>
        </w:tc>
        <w:tc>
          <w:tcPr>
            <w:tcW w:type="dxa" w:w="6747"/>
          </w:tcPr>
          <w:p>
            <w:r>
              <w:rPr>
                <w:rFonts w:ascii="宋体" w:hAnsi="宋体" w:eastAsia="宋体"/>
                <w:b w:val="0"/>
                <w:color w:val="1F2937"/>
                <w:sz w:val="21"/>
              </w:rPr>
              <w:t>异常记录 / 纠正与预防措施，用于质量问题闭环和追溯。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185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r>
              <w:rPr>
                <w:rFonts w:ascii="宋体" w:hAnsi="宋体" w:eastAsia="宋体"/>
                <w:b/>
                <w:color w:val="1F4D78"/>
                <w:sz w:val="21"/>
              </w:rPr>
              <w:t>版本说明：</w:t>
            </w:r>
            <w:r>
              <w:rPr>
                <w:rFonts w:ascii="宋体" w:hAnsi="宋体" w:eastAsia="宋体"/>
                <w:b w:val="0"/>
                <w:color w:val="1F2937"/>
                <w:sz w:val="21"/>
              </w:rPr>
              <w:t>本手册依据当前项目功能和已启动系统页面编写。页面名称、权限范围和模型策略如发生变更，应同步修订本手册。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667085"/>
        <w:sz w:val="18"/>
      </w:rPr>
      <w:t xml:space="preserve">第 </w:t>
    </w:r>
    <w:r>
      <w:rPr>
        <w:rFonts w:ascii="宋体" w:hAnsi="宋体" w:eastAsia="宋体"/>
        <w:b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7085"/>
        <w:sz w:val="18"/>
      </w:rPr>
      <w:t>织慧通智能纺织生产与质量管理系统 V1.0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宋体" w:hAnsi="宋体" w:eastAsia="宋体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宋体" w:hAnsi="宋体" w:eastAsia="宋体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宋体" w:hAnsi="宋体" w:eastAsia="宋体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宋体" w:hAnsi="宋体" w:eastAsia="宋体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tep">
    <w:name w:val="Manual Step"/>
    <w:pPr>
      <w:spacing w:before="0" w:after="60" w:line="276" w:lineRule="auto"/>
      <w:ind w:left="425" w:hanging="312"/>
    </w:pPr>
    <w:rPr>
      <w:rFonts w:ascii="宋体" w:hAnsi="宋体" w:eastAsia="宋体"/>
      <w:b w:val="0"/>
      <w:color w:val="1F2937"/>
      <w:sz w:val="21"/>
    </w:rPr>
  </w:style>
  <w:style w:type="paragraph" w:customStyle="1" w:styleId="ManualBullet">
    <w:name w:val="Manual Bullet"/>
    <w:pPr>
      <w:spacing w:before="0" w:after="60" w:line="276" w:lineRule="auto"/>
      <w:ind w:left="425" w:hanging="312"/>
    </w:pPr>
    <w:rPr>
      <w:rFonts w:ascii="宋体" w:hAnsi="宋体" w:eastAsia="宋体"/>
      <w:b w:val="0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织慧通智能纺织生产与质量管理系统 V1.0 用户操作手册</dc:title>
  <dc:subject>系统核心业务操作、质量检测与权限维护说明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