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宋体" w:hAnsi="宋体" w:eastAsia="宋体"/>
          <w:b w:val="0"/>
          <w:i w:val="0"/>
          <w:color w:val="1F4E79"/>
          <w:sz w:val="24"/>
        </w:rPr>
        <w:t>SOFTWARE USER MANUAL</w:t>
      </w:r>
    </w:p>
    <w:p>
      <w:pPr>
        <w:spacing w:before="680"/>
        <w:jc w:val="center"/>
      </w:pPr>
      <w:r>
        <w:rPr>
          <w:rFonts w:ascii="宋体" w:hAnsi="宋体" w:eastAsia="宋体"/>
          <w:b/>
          <w:i w:val="0"/>
          <w:color w:val="142238"/>
          <w:sz w:val="54"/>
        </w:rPr>
        <w:t>织慧通智能纺织生产与质量管理系统</w:t>
      </w:r>
    </w:p>
    <w:p>
      <w:pPr>
        <w:spacing w:before="320"/>
        <w:jc w:val="center"/>
      </w:pPr>
      <w:r>
        <w:rPr>
          <w:rFonts w:ascii="宋体" w:hAnsi="宋体" w:eastAsia="宋体"/>
          <w:b/>
          <w:i w:val="0"/>
          <w:color w:val="E8751A"/>
          <w:sz w:val="44"/>
        </w:rPr>
        <w:t>V1.0</w:t>
      </w:r>
    </w:p>
    <w:p>
      <w:pPr>
        <w:spacing w:before="400"/>
        <w:jc w:val="center"/>
      </w:pPr>
      <w:r>
        <w:rPr>
          <w:rFonts w:ascii="宋体" w:hAnsi="宋体" w:eastAsia="宋体"/>
          <w:b w:val="0"/>
          <w:i w:val="0"/>
          <w:color w:val="142238"/>
          <w:sz w:val="46"/>
        </w:rPr>
        <w:t>用户操作手册</w:t>
      </w:r>
    </w:p>
    <w:p>
      <w:pPr>
        <w:spacing w:before="360"/>
        <w:jc w:val="center"/>
      </w:pPr>
      <w:r>
        <w:rPr>
          <w:rFonts w:ascii="宋体" w:hAnsi="宋体" w:eastAsia="宋体"/>
          <w:b w:val="0"/>
          <w:i w:val="0"/>
          <w:color w:val="1F4E79"/>
          <w:sz w:val="24"/>
        </w:rPr>
        <w:t>订单 · 来料 · 工艺 · 排产 · 质检 · 异常闭环</w:t>
      </w:r>
    </w:p>
    <w:p>
      <w:pPr>
        <w:spacing w:before="2400"/>
        <w:jc w:val="center"/>
      </w:pPr>
      <w:r>
        <w:rPr>
          <w:rFonts w:ascii="宋体" w:hAnsi="宋体" w:eastAsia="宋体"/>
          <w:b w:val="0"/>
          <w:i w:val="0"/>
          <w:color w:val="6B7785"/>
          <w:sz w:val="21"/>
        </w:rPr>
        <w:t>基于项目 docs 文档与当前运行页面编制</w:t>
      </w:r>
    </w:p>
    <w:p>
      <w:pPr>
        <w:spacing w:before="120"/>
        <w:jc w:val="center"/>
      </w:pPr>
      <w:r>
        <w:rPr>
          <w:rFonts w:ascii="宋体" w:hAnsi="宋体" w:eastAsia="宋体"/>
          <w:b w:val="0"/>
          <w:i w:val="0"/>
          <w:color w:val="6B7785"/>
          <w:sz w:val="21"/>
        </w:rPr>
        <w:t>文档内容随系统实际配置、权限与数据状态变化</w:t>
      </w:r>
    </w:p>
    <w:p>
      <w:r>
        <w:br w:type="page"/>
      </w:r>
    </w:p>
    <w:p>
      <w:pPr>
        <w:spacing w:after="160"/>
        <w:jc w:val="center"/>
      </w:pPr>
      <w:r>
        <w:rPr>
          <w:rFonts w:ascii="宋体" w:hAnsi="宋体" w:eastAsia="宋体"/>
          <w:b w:val="0"/>
          <w:i w:val="0"/>
          <w:color w:val="142238"/>
          <w:sz w:val="50"/>
        </w:rPr>
        <w:t>目录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编排说明：</w:t>
      </w:r>
      <w:r>
        <w:rPr>
          <w:rFonts w:ascii="宋体" w:hAnsi="宋体" w:eastAsia="宋体"/>
          <w:b w:val="0"/>
          <w:i w:val="0"/>
          <w:color w:val="1B2430"/>
          <w:sz w:val="21"/>
        </w:rPr>
        <w:t>本手册按真实业务链路编排，先说明系统定位与登录，再说明订单、来料、工艺、排产、质量、异常和系统管理；截图均来自当前项目运行页面。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第一章 系统概述与使用准备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4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1.1 系统定位与核心业务链路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4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1.2 运行环境与访问方式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4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1.3 角色、权限与使用边界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4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第二章 登录与基础导航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5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2.1 登录系统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5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2.2 首页看板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6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2.3 菜单、列表与通用操作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7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第三章 订单、来料与工艺中心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7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3.1 订单与订单明细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7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3.2 来料批次与资源池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8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3.3 工艺路线、工序与设备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9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第四章 生产计划与智能排产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9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4.1 生产计划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9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4.2 工序计划与甘特图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10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4.3 AI 智能排产建议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11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第五章 质量检测与 AI 分析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12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5.1 质检任务与质检记录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12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5.2 实时视频质检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12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5.3 浏览器推理与模型契约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13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5.4 AI 质检分析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13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第六章 异常闭环、返工与追溯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14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6.1 异常闭环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14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6.2 返工、CAPA 与关闭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15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6.3 质量证据与追溯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16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第七章 系统管理与安全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16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7.1 用户管理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16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7.2 角色与数据权限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16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7.3 菜单、部门、岗位与在线用户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17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7.4 认证、会话与安全注意事项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18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第八章 启动、维护与问题处理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18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8.1 本地启动与健康检查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18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8.2 常见问题处理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18</w:t>
      </w:r>
    </w:p>
    <w:p>
      <w:pPr>
        <w:pStyle w:val="TOCSection"/>
        <w:keepLines/>
        <w:tabs>
          <w:tab w:pos="9241" w:val="right" w:leader="dot"/>
        </w:tabs>
        <w:spacing w:after="40"/>
        <w:ind w:left="369" w:firstLine="0"/>
      </w:pPr>
      <w:r>
        <w:rPr>
          <w:rFonts w:ascii="宋体" w:hAnsi="宋体" w:eastAsia="宋体"/>
          <w:b w:val="0"/>
          <w:i w:val="0"/>
          <w:color w:val="142238"/>
          <w:sz w:val="21"/>
        </w:rPr>
        <w:t>8.3 部署与运行检查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19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附录 A 功能导航与接口速查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20</w:t>
      </w:r>
    </w:p>
    <w:p>
      <w:pPr>
        <w:pStyle w:val="TOCChapter"/>
        <w:keepLines/>
        <w:tabs>
          <w:tab w:pos="9241" w:val="right" w:leader="dot"/>
        </w:tabs>
        <w:spacing w:after="80"/>
        <w:ind w:left="0" w:firstLine="0"/>
      </w:pPr>
      <w:r>
        <w:rPr>
          <w:rFonts w:ascii="宋体" w:hAnsi="宋体" w:eastAsia="宋体"/>
          <w:b/>
          <w:i w:val="0"/>
          <w:color w:val="142238"/>
          <w:sz w:val="23"/>
        </w:rPr>
        <w:t>附录 B 状态、模型与路径说明</w:t>
      </w:r>
      <w:r>
        <w:rPr>
          <w:rFonts w:ascii="宋体" w:hAnsi="宋体" w:eastAsia="宋体"/>
          <w:b w:val="0"/>
          <w:i w:val="0"/>
          <w:color w:val="1B2430"/>
          <w:sz w:val="21"/>
        </w:rPr>
        <w:tab/>
        <w:t>21</w:t>
      </w:r>
    </w:p>
    <w:p>
      <w:r>
        <w:br w:type="page"/>
      </w:r>
    </w:p>
    <w:p>
      <w:pPr>
        <w:pStyle w:val="Heading1"/>
        <w:keepNext/>
        <w:keepLines/>
        <w:pageBreakBefore/>
      </w:pPr>
      <w:r>
        <w:t>1  系统概述与使用准备</w:t>
      </w:r>
    </w:p>
    <w:p>
      <w:pPr>
        <w:pStyle w:val="Heading2"/>
        <w:keepNext/>
        <w:keepLines/>
        <w:pageBreakBefore w:val="0"/>
      </w:pPr>
      <w:r>
        <w:t>1.1  系统定位与核心业务链路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织慧通智能纺织生产与质量管理系统是一套面向纺织生产场景的 SaaS 管理系统。系统围绕订单、来料批次、工艺路线、生产排产、质量检测、异常闭环和系统权限组织业务数据，使生产计划、工序执行和质量结果能够在同一套业务链路中关联。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系统的主业务链路为：</w:t>
      </w:r>
    </w:p>
    <w:p>
      <w:pPr>
        <w:pStyle w:val="ManualCode"/>
        <w:keepLines/>
        <w:ind w:left="113" w:right="113"/>
        <w:shd w:fill="F5F7FA"/>
        <w:pBdr>
          <w:left w:val="single" w:sz="18" w:space="8" w:color="D6DEE7"/>
        </w:pBdr>
      </w:pPr>
      <w:r>
        <w:rPr>
          <w:rFonts w:ascii="宋体" w:hAnsi="宋体" w:eastAsia="宋体"/>
          <w:b w:val="0"/>
          <w:i w:val="0"/>
          <w:color w:val="142238"/>
          <w:sz w:val="18"/>
        </w:rPr>
        <w:t>订单 → 订单明细 → 订单批次分配 → 来料批次 → 工艺路线 → 生产计划 → 工序计划 → IQC/过程质检 → 异常闭环/返工/CAPA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在实际使用中，订单提供生产需求，批次提供可生产资源，工艺路线描述生产步骤，生产计划把订单和批次转化为一次完整生产安排，工序计划再将其拆解为具体工序、设备、时间和状态；质检结果和异常记录最终回到工序与生产计划，形成可追溯关系。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阅读边界：</w:t>
      </w:r>
      <w:r>
        <w:rPr>
          <w:rFonts w:ascii="宋体" w:hAnsi="宋体" w:eastAsia="宋体"/>
          <w:b w:val="0"/>
          <w:i w:val="0"/>
          <w:color w:val="1B2430"/>
          <w:sz w:val="21"/>
        </w:rPr>
        <w:t>本手册面向系统管理员、排产人员、质量人员和业务使用者；模型内部实现、SQL 迁移脚本和源程序排版不属于本手册的操作范围。</w:t>
      </w:r>
    </w:p>
    <w:p>
      <w:pPr>
        <w:pStyle w:val="Heading2"/>
        <w:keepNext/>
        <w:keepLines/>
        <w:pageBreakBefore w:val="0"/>
      </w:pPr>
      <w:r>
        <w:t>1.2  运行环境与访问方式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项目开发文档给出的本地运行环境如下。实际部署时，应以服务器配置和环境变量为准。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2300"/>
        <w:gridCol w:w="5160"/>
      </w:tblGrid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依赖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建议版本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用途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JDK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17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后端运行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Maven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3.8+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后端依赖与构建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Node.js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20.19+ 或 22.12+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前端运行与构建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MySQL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8.x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业务数据库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Redis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6+ / 7+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验证码、登录会话、在线状态</w:t>
            </w:r>
          </w:p>
        </w:tc>
      </w:tr>
    </w:tbl>
    <w:p>
      <w:pPr>
        <w:spacing w:after="40"/>
      </w:pP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本地启动后，后端默认地址为 http://localhost:8080，健康检查地址为 http://localhost:8080/actuator/health；前端默认地址为 http://localhost:5173。前端通过 /prod-api 代理后端接口，用户通常只需访问前端地址。</w:t>
      </w:r>
    </w:p>
    <w:p>
      <w:pPr>
        <w:pStyle w:val="Heading2"/>
        <w:keepNext/>
        <w:keepLines/>
        <w:pageBreakBefore w:val="0"/>
      </w:pPr>
      <w:r>
        <w:t>1.3  角色、权限与使用边界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系统使用“用户 → 角色 → 菜单/按钮权限”的基础模型，并通过数据权限限制不同用户可访问的数据范围。当前运行页面中可见的角色标识包括超级管理员、订单管理员、来料管理员、工艺工程师、排产员、质检员、质量主管和只读用户；实际角色是否可用，取决于数据库初始化数据和管理员配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角色示例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主要操作边界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超级管理员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系统管理、菜单/角色配置和全量业务查看；具体权限以角色配置为准。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订单管理员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订单、订单明细和订单批次关联。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来料管理员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来料批次、批次资源池和相关 IQC 任务。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工艺工程师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工艺路线、工序、设备及工序设备能力。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排产员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订单排产池、生产计划、工序计划、甘特图和排产建议。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质检员/质量主管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质检任务、实时质检、异常闭环、返工及质量分析。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只读用户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查看被授权数据，不进行写入操作。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权限提示：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菜单显示、按钮可用性和数据范围由后端权限及 DataScopeService 共同决定；如果看不到某个菜单或按钮，应先确认角色权限和所属数据范围。</w:t>
      </w:r>
    </w:p>
    <w:p>
      <w:pPr>
        <w:pStyle w:val="Heading1"/>
        <w:keepNext/>
        <w:keepLines/>
        <w:pageBreakBefore w:val="0"/>
      </w:pPr>
      <w:r>
        <w:t>2  登录与基础导航</w:t>
      </w:r>
    </w:p>
    <w:p>
      <w:pPr>
        <w:pStyle w:val="Heading2"/>
        <w:keepNext/>
        <w:keepLines/>
        <w:pageBreakBefore w:val="0"/>
      </w:pPr>
      <w:r>
        <w:t>2.1  登录系统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打开前端地址后，系统进入账号登录页面。登录页包含用户名、密码、图形验证码和登录按钮，验证码由后端接口生成并通过 Redis 管理会话。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2-1 织慧通系统登录界面</w:t>
      </w:r>
    </w:p>
    <w:p>
      <w:pPr>
        <w:pStyle w:val="ManualStep"/>
        <w:numPr>
          <w:ilvl w:val="0"/>
          <w:numId w:val="1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在“用户名”输入框填写已由管理员创建的账号。</w:t>
      </w:r>
    </w:p>
    <w:p>
      <w:pPr>
        <w:pStyle w:val="ManualStep"/>
        <w:numPr>
          <w:ilvl w:val="0"/>
          <w:numId w:val="1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在“密码”输入框填写当前账号密码。</w:t>
      </w:r>
    </w:p>
    <w:p>
      <w:pPr>
        <w:pStyle w:val="ManualStep"/>
        <w:numPr>
          <w:ilvl w:val="0"/>
          <w:numId w:val="1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按页面显示输入图形验证码；验证码失效时重新获取。</w:t>
      </w:r>
    </w:p>
    <w:p>
      <w:pPr>
        <w:pStyle w:val="ManualStep"/>
        <w:numPr>
          <w:ilvl w:val="0"/>
          <w:numId w:val="1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点击“登录系统”，等待后端完成验证码、账号密码和权限校验。</w:t>
      </w:r>
    </w:p>
    <w:p>
      <w:pPr>
        <w:pStyle w:val="ManualStep"/>
        <w:numPr>
          <w:ilvl w:val="0"/>
          <w:numId w:val="1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登录成功后，前端保存 token，后续请求通过 Authorization: Bearer &lt;token&gt; 携带登录状态。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安全提示：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本手册不记录真实账号、密码或密钥。首次登录、密码修改和账号禁用由系统管理员按项目实际环境执行。</w:t>
      </w:r>
    </w:p>
    <w:p>
      <w:pPr>
        <w:pStyle w:val="Heading2"/>
        <w:keepNext/>
        <w:keepLines/>
        <w:pageBreakBefore w:val="0"/>
      </w:pPr>
      <w:r>
        <w:t>2.2  首页看板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首页看板用于汇总当前业务状态，页面左侧为核心业务导航，主体区域展示待检批次、异常拒收、放行率、排产池负荷、实时质检动态、即将排产、异常概览和计划概览等信息。看板数字来自当前数据库数据，空数据或零值属于真实业务状态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2-2 首页看板与业务概览</w:t>
      </w:r>
    </w:p>
    <w:p>
      <w:pPr>
        <w:pStyle w:val="ManualBullet"/>
        <w:numPr>
          <w:ilvl w:val="0"/>
          <w:numId w:val="1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“今日待检批次”用于查看当前待处理的质检批次数量。</w:t>
      </w:r>
    </w:p>
    <w:p>
      <w:pPr>
        <w:pStyle w:val="ManualBullet"/>
        <w:numPr>
          <w:ilvl w:val="0"/>
          <w:numId w:val="1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“异常拒收数”用于提示当前异常或拒收情况。</w:t>
      </w:r>
    </w:p>
    <w:p>
      <w:pPr>
        <w:pStyle w:val="ManualBullet"/>
        <w:numPr>
          <w:ilvl w:val="0"/>
          <w:numId w:val="1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“本周放行率”用于观察质量结果的汇总趋势。</w:t>
      </w:r>
    </w:p>
    <w:p>
      <w:pPr>
        <w:pStyle w:val="ManualBullet"/>
        <w:numPr>
          <w:ilvl w:val="0"/>
          <w:numId w:val="1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“排产池负荷”用于提示待排产资源量，具体单位以页面显示为准。</w:t>
      </w:r>
    </w:p>
    <w:p>
      <w:pPr>
        <w:pStyle w:val="ManualBullet"/>
        <w:numPr>
          <w:ilvl w:val="0"/>
          <w:numId w:val="1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实时质检动态、即将排产和异常概览区域提供进入对应业务页面的入口。</w:t>
      </w:r>
    </w:p>
    <w:p>
      <w:pPr>
        <w:pStyle w:val="Heading2"/>
        <w:keepNext/>
        <w:keepLines/>
        <w:pageBreakBefore w:val="0"/>
      </w:pPr>
      <w:r>
        <w:t>2.3  菜单、列表与通用操作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系统侧边栏按业务域组织菜单：看板、订单管理、来料资源、工艺中心、排产管理、质量管理和系统管理。排产管理下包含订单排产池、批次执行池、生产计划、生产调度甘特图和 AI 智能排产；质量管理下包含实时质检、异常闭环、返工处理和 AI 质检分析。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页面类型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通用操作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列表页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输入筛选条件，点击查询；需要恢复默认条件时点击重置。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分页列表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使用底部分页器切换页码；接口分页结果通常包含 rows 和 total。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新增/编辑页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按字段校验提示填写，保存后返回列表确认状态和更新时间。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详情页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从列表点击详情，核对业务关联、状态、附件和操作按钮。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危险操作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删除、关闭、返工等操作会影响业务状态，执行前应确认对象和权限。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操作提示：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按钮名称、状态标签和列表数据随当前数据库与权限变化；本手册只描述项目中已经实现的操作模式，不对空数据页面补造记录。</w:t>
      </w:r>
    </w:p>
    <w:p>
      <w:pPr>
        <w:pStyle w:val="Heading1"/>
        <w:keepNext/>
        <w:keepLines/>
        <w:pageBreakBefore w:val="0"/>
      </w:pPr>
      <w:r>
        <w:t>3  订单、来料与工艺中心</w:t>
      </w:r>
    </w:p>
    <w:p>
      <w:pPr>
        <w:pStyle w:val="Heading2"/>
        <w:keepNext/>
        <w:keepLines/>
        <w:pageBreakBefore w:val="0"/>
      </w:pPr>
      <w:r>
        <w:t>3.1  订单与订单明细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订单管理是生产链路的入口。订单列表支持按订单号、客户、状态、交期起止时间查询；列表中可查看订单号、客户、下单时间、交期、优先级、状态、执行进度、备注和操作按钮。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r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3-1 订单管理列表</w:t>
      </w:r>
    </w:p>
    <w:p>
      <w:pPr>
        <w:pStyle w:val="ManualStep"/>
        <w:numPr>
          <w:ilvl w:val="0"/>
          <w:numId w:val="1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进入“订单管理”，根据订单号、客户或交期条件筛选目标订单。</w:t>
      </w:r>
    </w:p>
    <w:p>
      <w:pPr>
        <w:pStyle w:val="ManualStep"/>
        <w:numPr>
          <w:ilvl w:val="0"/>
          <w:numId w:val="1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点击“新建订单”，填写订单基础信息并保存。</w:t>
      </w:r>
    </w:p>
    <w:p>
      <w:pPr>
        <w:pStyle w:val="ManualStep"/>
        <w:numPr>
          <w:ilvl w:val="0"/>
          <w:numId w:val="1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进入订单详情，维护订单明细；明细用于描述具体产品、规格、颜色和数量。</w:t>
      </w:r>
    </w:p>
    <w:p>
      <w:pPr>
        <w:pStyle w:val="ManualStep"/>
        <w:numPr>
          <w:ilvl w:val="0"/>
          <w:numId w:val="1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在订单批次关联区域，将可生产的来料批次分配给订单明细。</w:t>
      </w:r>
    </w:p>
    <w:p>
      <w:pPr>
        <w:pStyle w:val="ManualStep"/>
        <w:numPr>
          <w:ilvl w:val="0"/>
          <w:numId w:val="1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确认订单状态和批次关联后，将订单送入订单排产池。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业务对象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在生产链路中的作用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承载客户或生产需求来源。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订单明细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描述具体产品、规格、颜色、数量等生产对象。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订单批次关联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把可用来料批次分配给订单明细。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订单排产池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承接已经具备排产条件的订单/批次对象。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3.2  来料批次与资源池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来料资源用于维护生产所需的来料批次和批次资源池。批次是后续生产计划的可生产资源，订单明细只有在关联到合适批次后，才具备进一步排产的业务基础。</w:t>
      </w:r>
    </w:p>
    <w:p>
      <w:pPr>
        <w:pStyle w:val="ManualStep"/>
        <w:numPr>
          <w:ilvl w:val="0"/>
          <w:numId w:val="1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进入“来料资源”相关页面，查询批次编号、批次状态或资源条件。</w:t>
      </w:r>
    </w:p>
    <w:p>
      <w:pPr>
        <w:pStyle w:val="ManualStep"/>
        <w:numPr>
          <w:ilvl w:val="0"/>
          <w:numId w:val="1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新增或导入来料批次，保存批次的业务字段和资源信息。</w:t>
      </w:r>
    </w:p>
    <w:p>
      <w:pPr>
        <w:pStyle w:val="ManualStep"/>
        <w:numPr>
          <w:ilvl w:val="0"/>
          <w:numId w:val="1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在批次资源池中确认批次是否可用于生产计划。</w:t>
      </w:r>
    </w:p>
    <w:p>
      <w:pPr>
        <w:pStyle w:val="ManualStep"/>
        <w:numPr>
          <w:ilvl w:val="0"/>
          <w:numId w:val="1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回到订单详情，将批次分配给对应订单明细。</w:t>
      </w:r>
    </w:p>
    <w:p>
      <w:pPr>
        <w:pStyle w:val="ManualStep"/>
        <w:numPr>
          <w:ilvl w:val="0"/>
          <w:numId w:val="1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批次发生变更时，重新核对关联订单、计划状态和可用资源。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4200"/>
        <w:gridCol w:w="5160"/>
      </w:tblGrid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接口能力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用途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 /api/batches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查询批次列表。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 /api/batches/resource-pool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查询批次资源池。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 /api/batches/import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导入批次数据。</w:t>
            </w:r>
          </w:p>
        </w:tc>
      </w:tr>
      <w:tr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 /api/batches/export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导出批次数据。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数据提示：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批次导入和订单关联都会影响后续排产；执行批量导入前应确认数据格式和重复数据处理方式，以当前页面校验结果为准。</w:t>
      </w:r>
    </w:p>
    <w:p>
      <w:pPr>
        <w:pStyle w:val="Heading2"/>
        <w:keepNext/>
        <w:keepLines/>
        <w:pageBreakBefore w:val="0"/>
      </w:pPr>
      <w:r>
        <w:t>3.3  工艺路线、工序与设备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工艺中心维护生产步骤模板和设备能力。工艺路线由多个工序组成，工序设备能力用于描述某道工序可以在哪些设备上执行。生产计划创建后，后端依据工艺路线拆分出工序计划，并为工序计划绑定设备、开始时间、结束时间、工时和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对象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维护内容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工艺路线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生产步骤模板及顺序。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工序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路线中的具体加工步骤。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设备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可执行工序的生产设备及设备状态。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工序设备能力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工序与设备之间的可执行关系。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工艺参数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与生产计划、工序执行相关的过程参数。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维护顺序：</w:t>
      </w:r>
      <w:r>
        <w:rPr>
          <w:rFonts w:ascii="宋体" w:hAnsi="宋体" w:eastAsia="宋体"/>
          <w:b w:val="0"/>
          <w:i w:val="0"/>
          <w:color w:val="1B2430"/>
          <w:sz w:val="21"/>
        </w:rPr>
        <w:t>建议先维护工序和设备，再建立工艺路线与设备能力，最后在生产计划中选择路线；如果路线没有可用设备能力，后续排产可能无法形成完整工序计划。</w:t>
      </w:r>
    </w:p>
    <w:p>
      <w:pPr>
        <w:pStyle w:val="Heading1"/>
        <w:keepNext/>
        <w:keepLines/>
        <w:pageBreakBefore w:val="0"/>
      </w:pPr>
      <w:r>
        <w:t>4  生产计划与智能排产</w:t>
      </w:r>
    </w:p>
    <w:p>
      <w:pPr>
        <w:pStyle w:val="Heading2"/>
        <w:keepNext/>
        <w:keepLines/>
        <w:pageBreakBefore w:val="0"/>
      </w:pPr>
      <w:r>
        <w:t>4.1  生产计划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生产计划用于把批次、订单和工艺路线组合成一次完整的生产安排。生产计划列表支持按计划 ID、客户、批次 ID 和计划状态查询，并提供详情、编辑、状态、重排和甘特图等操作。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hed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4-1 生产计划列表</w:t>
      </w:r>
    </w:p>
    <w:p>
      <w:pPr>
        <w:pStyle w:val="ManualStep"/>
        <w:numPr>
          <w:ilvl w:val="0"/>
          <w:numId w:val="14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进入“排产管理—生产计划”，确认订单和批次已经具备排产条件。</w:t>
      </w:r>
    </w:p>
    <w:p>
      <w:pPr>
        <w:pStyle w:val="ManualStep"/>
        <w:numPr>
          <w:ilvl w:val="0"/>
          <w:numId w:val="14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点击“新建计划”，选择订单、订单明细、批次和工艺路线。</w:t>
      </w:r>
    </w:p>
    <w:p>
      <w:pPr>
        <w:pStyle w:val="ManualStep"/>
        <w:numPr>
          <w:ilvl w:val="0"/>
          <w:numId w:val="14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填写计划开始时间，核对产品、数量和工艺路线信息后保存。</w:t>
      </w:r>
    </w:p>
    <w:p>
      <w:pPr>
        <w:pStyle w:val="ManualStep"/>
        <w:numPr>
          <w:ilvl w:val="0"/>
          <w:numId w:val="14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系统根据工艺路线生成 productionplan，并拆分对应的 planstep。</w:t>
      </w:r>
    </w:p>
    <w:p>
      <w:pPr>
        <w:pStyle w:val="ManualStep"/>
        <w:numPr>
          <w:ilvl w:val="0"/>
          <w:numId w:val="14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返回列表检查计划状态、计划时间、工艺路线和操作按钮。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00"/>
        <w:gridCol w:w="6060"/>
      </w:tblGrid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生产计划字段/区域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使用说明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计划 ID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系统生成的生产计划标识，页面通常使用短号展示。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订单信息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显示订单及客户关联。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生产对象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显示产品、批次、规格或数量等对象信息。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工艺路线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显示本计划采用的生产步骤模板。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计划时段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显示开始、结束和创建时间。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操作</w:t>
            </w:r>
          </w:p>
        </w:tc>
        <w:tc>
          <w:tcPr>
            <w:tcW w:type="dxa" w:w="6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详情、编辑、状态、重排、甘特图等操作由权限决定。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4.2  工序计划与甘特图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工序计划是生产计划拆分后的执行单元。每个工序计划可以关联设备、开始结束时间、工时和状态；甘特图用于观察工序在时间轴上的安排，重排操作用于在计划发生变化时重新计算安排。</w:t>
      </w:r>
    </w:p>
    <w:p>
      <w:pPr>
        <w:pStyle w:val="ManualStep"/>
        <w:numPr>
          <w:ilvl w:val="0"/>
          <w:numId w:val="15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进入生产计划详情，查看系统拆分出的工序计划。</w:t>
      </w:r>
    </w:p>
    <w:p>
      <w:pPr>
        <w:pStyle w:val="ManualStep"/>
        <w:numPr>
          <w:ilvl w:val="0"/>
          <w:numId w:val="15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核对每道工序对应的设备能力和设备状态。</w:t>
      </w:r>
    </w:p>
    <w:p>
      <w:pPr>
        <w:pStyle w:val="ManualStep"/>
        <w:numPr>
          <w:ilvl w:val="0"/>
          <w:numId w:val="15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必要时使用设备分配操作，为工序计划指定可执行设备。</w:t>
      </w:r>
    </w:p>
    <w:p>
      <w:pPr>
        <w:pStyle w:val="ManualStep"/>
        <w:numPr>
          <w:ilvl w:val="0"/>
          <w:numId w:val="15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在甘特图中检查工序的时间顺序和可能的资源冲突。</w:t>
      </w:r>
    </w:p>
    <w:p>
      <w:pPr>
        <w:pStyle w:val="ManualStep"/>
        <w:numPr>
          <w:ilvl w:val="0"/>
          <w:numId w:val="15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计划变更时使用重排功能，保存后再次核对工序计划和状态。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排产提示：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工序设备能力、工艺路线、计划开始时间和设备状态共同影响排产结果；不要只修改页面上的时间而忽略工艺路线和设备约束。</w:t>
      </w:r>
    </w:p>
    <w:p>
      <w:pPr>
        <w:pStyle w:val="Heading2"/>
        <w:keepNext/>
        <w:keepLines/>
        <w:pageBreakBefore w:val="0"/>
      </w:pPr>
      <w:r>
        <w:t>4.3  AI 智能排产建议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AI 智能排产页面用于针对已有生产计划生成多套排产建议。项目文档明确说明：排产计算由规则、算法和 OR-Tools 等机制完成，DeepSeek 负责把计算结果转换为可读的解释和报告，大模型不直接决定排产。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i-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4-2 AI 智能排产建议台</w:t>
      </w:r>
    </w:p>
    <w:p>
      <w:pPr>
        <w:pStyle w:val="ManualStep"/>
        <w:numPr>
          <w:ilvl w:val="0"/>
          <w:numId w:val="16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在“AI 智能排产”页面选择已有生产计划。</w:t>
      </w:r>
    </w:p>
    <w:p>
      <w:pPr>
        <w:pStyle w:val="ManualStep"/>
        <w:numPr>
          <w:ilvl w:val="0"/>
          <w:numId w:val="16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点击生成方案，等待后端读取计划、工序、设备能力和历史上下文。</w:t>
      </w:r>
    </w:p>
    <w:p>
      <w:pPr>
        <w:pStyle w:val="ManualStep"/>
        <w:numPr>
          <w:ilvl w:val="0"/>
          <w:numId w:val="16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查看交期优先、设备利用率优先、成本优先等候选方案及其指标。</w:t>
      </w:r>
    </w:p>
    <w:p>
      <w:pPr>
        <w:pStyle w:val="ManualStep"/>
        <w:numPr>
          <w:ilvl w:val="0"/>
          <w:numId w:val="16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阅读 DeepSeek 生成的解释文本，确认方案中的风险、设备空闲和交期影响。</w:t>
      </w:r>
    </w:p>
    <w:p>
      <w:pPr>
        <w:pStyle w:val="ManualStep"/>
        <w:numPr>
          <w:ilvl w:val="0"/>
          <w:numId w:val="16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由用户人工确认后应用方案，并在生产计划和工序计划中复核结果。</w:t>
      </w:r>
    </w:p>
    <w:p>
      <w:pPr>
        <w:pStyle w:val="ManualNote"/>
        <w:keepLines/>
        <w:spacing w:before="120" w:after="160"/>
        <w:ind w:left="102" w:right="102"/>
        <w:shd w:fill="FFF4EA"/>
        <w:pBdr>
          <w:left w:val="single" w:sz="18" w:space="8" w:color="E8751A"/>
        </w:pBdr>
      </w:pPr>
      <w:r>
        <w:rPr>
          <w:rFonts w:ascii="宋体" w:hAnsi="宋体" w:eastAsia="宋体"/>
          <w:b/>
          <w:i w:val="0"/>
          <w:color w:val="E8751A"/>
          <w:sz w:val="21"/>
        </w:rPr>
        <w:t>责任边界：</w:t>
      </w:r>
      <w:r>
        <w:rPr>
          <w:rFonts w:ascii="宋体" w:hAnsi="宋体" w:eastAsia="宋体"/>
          <w:b w:val="0"/>
          <w:i w:val="0"/>
          <w:color w:val="1B2430"/>
          <w:sz w:val="21"/>
        </w:rPr>
        <w:t>AI 页面提供建议和解释，最终应用仍由人工确认。若建议与实际设备、订单或工艺条件不一致，应返回生产计划核对基础数据。</w:t>
      </w:r>
    </w:p>
    <w:p>
      <w:pPr>
        <w:pStyle w:val="Heading1"/>
        <w:keepNext/>
        <w:keepLines/>
        <w:pageBreakBefore w:val="0"/>
      </w:pPr>
      <w:r>
        <w:t>5  质量检测与 AI 分析</w:t>
      </w:r>
    </w:p>
    <w:p>
      <w:pPr>
        <w:pStyle w:val="Heading2"/>
        <w:keepNext/>
        <w:keepLines/>
        <w:pageBreakBefore w:val="0"/>
      </w:pPr>
      <w:r>
        <w:t>5.1  质检任务与质检记录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质量管理覆盖 IQC 任务、实时质检、离线图片检测、质检记录、检测附件、异常闭环和 AI 质检分析。质检记录与工序计划、质检项目、人员和文件附件关联，便于后续复核、异常处理和质量追溯。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质量对象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业务作用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IQC 任务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承接来料检验任务和结果。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质检记录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保存一次正式质检的判定、检测结果和业务关联。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检测附件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保存原图、结果图和关键帧等证据文件。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质检项目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定义当前质检任务所使用的检查项目。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质检摄像头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维护可用于实时质检的摄像头台账；本机摄像头模式可不绑定 cameraId。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5.2  实时视频质检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实时质检页面使用浏览器摄像头采集视频，并在浏览器 Web Worker 中完成推理。普通视频帧不上传后端做推理；只有连续多帧命中缺陷后，系统才生成证据并异步保存。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quality-real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5-1 实时视频质检页面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进入“质量管理—实时质检”，确认浏览器已获得摄像头权限。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点击“打开视频预览”，检查摄像头画面和关键帧区域是否可用。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点击“开始检测”，页面创建质检业务会话并启动本地推理。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观察实时判定、置信度、结果值、缺陷类型和关键帧区域。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连续缺陷事件成立后，系统生成原图、结果图和结构化检测结果并进入有界上传队列。</w:t>
      </w:r>
    </w:p>
    <w:p>
      <w:pPr>
        <w:pStyle w:val="ManualStep"/>
        <w:numPr>
          <w:ilvl w:val="0"/>
          <w:numId w:val="17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点击“停止检测”后，系统关闭会话并释放摄像头、Worker、Timer 和 Tensor。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实时链路：</w:t>
      </w:r>
      <w:r>
        <w:rPr>
          <w:rFonts w:ascii="宋体" w:hAnsi="宋体" w:eastAsia="宋体"/>
          <w:b w:val="0"/>
          <w:i w:val="0"/>
          <w:color w:val="1B2430"/>
          <w:sz w:val="21"/>
        </w:rPr>
        <w:t>摄像头帧 → BrowserInferenceClient → Web Worker/ONNX Runtime Web → 结果框绘制；连续缺陷事件 → 证据队列 → 后端校验 → 原图、结果图、质检记录和附件落库。</w:t>
      </w:r>
    </w:p>
    <w:p>
      <w:pPr>
        <w:pStyle w:val="Heading2"/>
        <w:keepNext/>
        <w:keepLines/>
        <w:pageBreakBefore w:val="0"/>
      </w:pPr>
      <w:r>
        <w:t>5.3  浏览器推理与模型契约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当前主链路采用“浏览器本地推理 + 后端模型分发、结果校验和业务落库”。前端通过模型清单获得当前模型版本、SHA-256、类别顺序和解码配置；Worker 优先使用 WebGPU，失败时回退到 WASM。图片质检和实时质检共享全局 BrowserInferenceClient、Worker 和活动 Session，并通过双层串行队列避免并发 session.run()。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800"/>
        <w:gridCol w:w="656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模型契约项目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当前项目文档记录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模型文件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docs/best.onnx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输入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images，float32，[1, 3, 640, 640]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输出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output0，float32，[1, 24, 8400]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解码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YOLO raw、BCN、cxcywh、无 objectness、非归一化坐标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类别数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20 类，类别顺序来自 ONNX metadata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SHA-256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cd50a08d750e8001aa174ed452402abf18637ca3aef0447e8cf7f08531c60470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文件目录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上传原图 photo/upload；结果图 photo/results；实际路径由环境变量决定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模型安全：</w:t>
      </w:r>
      <w:r>
        <w:rPr>
          <w:rFonts w:ascii="宋体" w:hAnsi="宋体" w:eastAsia="宋体"/>
          <w:b w:val="0"/>
          <w:i w:val="0"/>
          <w:color w:val="1B2430"/>
          <w:sz w:val="21"/>
        </w:rPr>
        <w:t>后端不会直接信任浏览器提交的结果，保存前会校验模型 SHA、类别、置信度、坐标范围、图片尺寸、文件数量和业务上下文。</w:t>
      </w:r>
    </w:p>
    <w:p>
      <w:pPr>
        <w:pStyle w:val="Heading2"/>
        <w:keepNext/>
        <w:keepLines/>
        <w:pageBreakBefore w:val="0"/>
      </w:pPr>
      <w:r>
        <w:t>5.4  AI 质检分析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AI 质检分析建立在已经保存的质检记录之上。页面选择质检记录后，由后端读取近期样本、缺陷类型和质量结果，再调用 DeepSeek 生成风险、趋势和根因辅助分析；大模型不直接替代 ONNX 缺陷检测模型。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ality-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5-2 AI 质检分析页面</w:t>
      </w:r>
    </w:p>
    <w:p>
      <w:pPr>
        <w:pStyle w:val="ManualStep"/>
        <w:numPr>
          <w:ilvl w:val="0"/>
          <w:numId w:val="18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进入“质量管理—AI 质检分析”，在记录选择框中选择已保存的质检记录。</w:t>
      </w:r>
    </w:p>
    <w:p>
      <w:pPr>
        <w:pStyle w:val="ManualStep"/>
        <w:numPr>
          <w:ilvl w:val="0"/>
          <w:numId w:val="18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点击“生成分析报告”，等待后端读取记录并生成分析。</w:t>
      </w:r>
    </w:p>
    <w:p>
      <w:pPr>
        <w:pStyle w:val="ManualStep"/>
        <w:numPr>
          <w:ilvl w:val="0"/>
          <w:numId w:val="18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查看风险等级、缺陷类型、严重程度、近期样本数量、缺陷率和分析报告。</w:t>
      </w:r>
    </w:p>
    <w:p>
      <w:pPr>
        <w:pStyle w:val="ManualStep"/>
        <w:numPr>
          <w:ilvl w:val="0"/>
          <w:numId w:val="18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将分析结果作为复核和改进的辅助信息，必要时回到异常闭环页面处理。</w:t>
      </w:r>
    </w:p>
    <w:p>
      <w:pPr>
        <w:pStyle w:val="Heading2"/>
        <w:keepNext/>
        <w:keepLines/>
        <w:pageBreakBefore w:val="0"/>
      </w:pPr>
      <w:r>
        <w:t>5.5  质量证据与审计信息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离线图片检测由浏览器完成预处理、推理和后处理后，一次性提交原图、结果图和结构化检测框；实时质检只保存连续缺陷事件的证据。后台保存时会记录模型版本、Provider、阶段耗时、图片尺寸、类别、置信度和坐标等信息，后续可用于复核、异常处理和 AI 分析。</w:t>
      </w:r>
    </w:p>
    <w:p>
      <w:pPr>
        <w:pStyle w:val="Heading1"/>
        <w:keepNext/>
        <w:keepLines/>
        <w:pageBreakBefore w:val="0"/>
      </w:pPr>
      <w:r>
        <w:t>6  异常闭环、返工与追溯</w:t>
      </w:r>
    </w:p>
    <w:p>
      <w:pPr>
        <w:pStyle w:val="Heading2"/>
        <w:keepNext/>
        <w:keepLines/>
        <w:pageBreakBefore w:val="0"/>
      </w:pPr>
      <w:r>
        <w:t>6.1  异常闭环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异常闭环页面承接质检失败或人工登记的异常记录。页面支持按工序计划 ID、异常等级和异常状态筛选，并提供登记质量异常、状态更新和关闭等操作。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quality-nc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6-1 异常闭环列表</w:t>
      </w:r>
    </w:p>
    <w:p>
      <w:pPr>
        <w:pStyle w:val="ManualStep"/>
        <w:numPr>
          <w:ilvl w:val="0"/>
          <w:numId w:val="19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进入“质量管理—异常闭环”，按工序计划 ID、等级或状态查询异常。</w:t>
      </w:r>
    </w:p>
    <w:p>
      <w:pPr>
        <w:pStyle w:val="ManualStep"/>
        <w:numPr>
          <w:ilvl w:val="0"/>
          <w:numId w:val="19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点击“登记质量异常”，填写异常类型、等级、描述和处理信息。</w:t>
      </w:r>
    </w:p>
    <w:p>
      <w:pPr>
        <w:pStyle w:val="ManualStep"/>
        <w:numPr>
          <w:ilvl w:val="0"/>
          <w:numId w:val="19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由处理人更新异常状态并记录处理结果。</w:t>
      </w:r>
    </w:p>
    <w:p>
      <w:pPr>
        <w:pStyle w:val="ManualStep"/>
        <w:numPr>
          <w:ilvl w:val="0"/>
          <w:numId w:val="19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需要继续生产时，使用“发起返工”进入返工处理流程。</w:t>
      </w:r>
    </w:p>
    <w:p>
      <w:pPr>
        <w:pStyle w:val="ManualStep"/>
        <w:numPr>
          <w:ilvl w:val="0"/>
          <w:numId w:val="19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确认问题处理完成后执行关闭，并在关闭前核对处理结果和关联质检记录。</w:t>
      </w:r>
    </w:p>
    <w:p>
      <w:pPr>
        <w:pStyle w:val="Heading2"/>
        <w:keepNext/>
        <w:keepLines/>
        <w:pageBreakBefore w:val="0"/>
      </w:pPr>
      <w:r>
        <w:t>6.2  返工、CAPA 与关闭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项目文档将返工处理和 CAPA 作为异常闭环的后续环节。返工用于把异常结果反馈到生产执行；CAPA 页面用于查看和跟踪纠正预防措施。关闭异常前，应确认处理人、状态、返工结果和必要的证据文件已经补齐。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阶段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建议核对内容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发现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质检失败或人工登记的异常类型、工序计划和异常等级。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处理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处理人、处理说明、状态更新和是否需要返工。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返工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返工工序、关联计划和后续质检结果。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CAPA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纠正措施、预防措施及跟踪状态。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关闭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结果已确认，相关附件和业务关联完整。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6.3  质量证据与追溯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质量追溯以生产工序计划为中心关联质检记录、检测附件和异常记录。数据库关系中，productionplan 关联 planstep，planstep 关联 qcrecord 和 exceptionrecord，qcrecord 进一步关联 inspectiondata。查询时应优先从计划、工序或质检记录详情进入，避免只通过文件路径判断业务结果。</w:t>
      </w:r>
    </w:p>
    <w:p>
      <w:pPr>
        <w:pStyle w:val="ManualCode"/>
        <w:keepLines/>
        <w:ind w:left="113" w:right="113"/>
        <w:shd w:fill="F5F7FA"/>
        <w:pBdr>
          <w:left w:val="single" w:sz="18" w:space="8" w:color="D6DEE7"/>
        </w:pBdr>
      </w:pPr>
      <w:r>
        <w:rPr>
          <w:rFonts w:ascii="宋体" w:hAnsi="宋体" w:eastAsia="宋体"/>
          <w:b w:val="0"/>
          <w:i w:val="0"/>
          <w:color w:val="142238"/>
          <w:sz w:val="18"/>
        </w:rPr>
        <w:t>qcrecord  →  inspectiondata（质检记录与检测附件）</w:t>
        <w:br/>
        <w:t>planstep  →  qcrecord（工序与质检）</w:t>
        <w:br/>
        <w:t>planstep  →  exceptionrecord（工序与异常）</w:t>
      </w: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追溯提示：</w:t>
      </w:r>
      <w:r>
        <w:rPr>
          <w:rFonts w:ascii="宋体" w:hAnsi="宋体" w:eastAsia="宋体"/>
          <w:b w:val="0"/>
          <w:i w:val="0"/>
          <w:color w:val="1B2430"/>
          <w:sz w:val="21"/>
        </w:rPr>
        <w:t>原图和结果图的访问路径由后端静态资源映射和前端 image 工具统一处理；页面中不要手写服务器绝对路径。</w:t>
      </w:r>
    </w:p>
    <w:p>
      <w:pPr>
        <w:pStyle w:val="Heading1"/>
        <w:keepNext/>
        <w:keepLines/>
        <w:pageBreakBefore w:val="0"/>
      </w:pPr>
      <w:r>
        <w:t>7  系统管理与安全</w:t>
      </w:r>
    </w:p>
    <w:p>
      <w:pPr>
        <w:pStyle w:val="Heading2"/>
        <w:keepNext/>
        <w:keepLines/>
        <w:pageBreakBefore w:val="0"/>
      </w:pPr>
      <w:r>
        <w:t>7.1  用户管理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用户管理用于维护账号、姓名、角色、部门、岗位、手机号、状态、最近登录和操作权限。新增或修改用户后，应通过角色管理配置菜单和按钮权限；删除、禁用或重置密码等操作会影响账号访问，应在确认对象后执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用户字段/操作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说明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账号与姓名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用于登录和页面识别，账号由管理员统一维护。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角色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决定菜单、按钮和数据范围的基础权限。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部门与岗位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用于组织关系和数据权限判断。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状态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控制账号是否可用。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最近登录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用于排查登录和在线状态问题。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修改/重置密码/删除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属于敏感管理操作，需确认业务影响。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隐私处理：</w:t>
      </w:r>
      <w:r>
        <w:rPr>
          <w:rFonts w:ascii="宋体" w:hAnsi="宋体" w:eastAsia="宋体"/>
          <w:b w:val="0"/>
          <w:i w:val="0"/>
          <w:color w:val="1B2430"/>
          <w:sz w:val="21"/>
        </w:rPr>
        <w:t>本手册不嵌入用户列表截图，因为该页面可能包含账号、手机号和最近登录等敏感信息；操作以当前系统页面为准。</w:t>
      </w:r>
    </w:p>
    <w:p>
      <w:pPr>
        <w:pStyle w:val="Heading2"/>
        <w:keepNext/>
        <w:keepLines/>
        <w:pageBreakBefore w:val="0"/>
      </w:pPr>
      <w:r>
        <w:t>7.2  角色与数据权限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角色管理页面维护角色名称、角色标识、排序、数据范围、状态、创建时间和操作。角色配置通常包含菜单权限、按钮权限和数据范围；数据权限由后端 DataScopeService 参与处理，新增业务查询时也必须遵循现有数据范围规则。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16000" cy="351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ystem-ro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rPr>
          <w:rFonts w:ascii="宋体" w:hAnsi="宋体" w:eastAsia="宋体"/>
          <w:b w:val="0"/>
          <w:i w:val="0"/>
          <w:color w:val="6B7785"/>
          <w:sz w:val="20"/>
        </w:rPr>
        <w:t>图 7-1 角色管理列表与数据范围</w:t>
      </w:r>
    </w:p>
    <w:p>
      <w:pPr>
        <w:pStyle w:val="ManualStep"/>
        <w:numPr>
          <w:ilvl w:val="0"/>
          <w:numId w:val="2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进入“系统管理—角色管理”，按角色名称或角色标识查询。</w:t>
      </w:r>
    </w:p>
    <w:p>
      <w:pPr>
        <w:pStyle w:val="ManualStep"/>
        <w:numPr>
          <w:ilvl w:val="0"/>
          <w:numId w:val="2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点击“新增角色”，填写名称、标识、排序和状态。</w:t>
      </w:r>
    </w:p>
    <w:p>
      <w:pPr>
        <w:pStyle w:val="ManualStep"/>
        <w:numPr>
          <w:ilvl w:val="0"/>
          <w:numId w:val="2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点击“配置”，勾选该角色可访问的菜单和按钮权限。</w:t>
      </w:r>
    </w:p>
    <w:p>
      <w:pPr>
        <w:pStyle w:val="ManualStep"/>
        <w:numPr>
          <w:ilvl w:val="0"/>
          <w:numId w:val="2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选择合适的数据范围，确认角色可见部门或数据边界。</w:t>
      </w:r>
    </w:p>
    <w:p>
      <w:pPr>
        <w:pStyle w:val="ManualStep"/>
        <w:numPr>
          <w:ilvl w:val="0"/>
          <w:numId w:val="20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保存后使用测试账号重新登录，核对菜单、按钮和列表数据是否符合预期。</w:t>
      </w:r>
    </w:p>
    <w:p>
      <w:pPr>
        <w:pStyle w:val="Heading2"/>
        <w:keepNext/>
        <w:keepLines/>
        <w:pageBreakBefore w:val="0"/>
      </w:pPr>
      <w:r>
        <w:t>7.3  菜单、部门、岗位与在线用户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系统管理还包括菜单管理、部门管理、岗位管理和在线用户。菜单管理负责路由、菜单显示和按钮权限标识；部门和岗位提供组织信息；在线用户用于查看会话和在线状态，必要时可执行强退等操作。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00"/>
        <w:gridCol w:w="6760"/>
      </w:tblGrid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模块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主要用途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菜单管理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维护菜单、路由、按钮权限和显示关系。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部门管理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维护组织层级和数据范围关联。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岗位管理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维护岗位名称及用户组织信息。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在线用户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查看当前在线状态和会话管理。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7.4  认证、会话与安全注意事项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系统使用 Spring Security、JWT、Redis 登录会话和图形验证码。登录流程为获取验证码、提交账号密码、校验验证码、创建 Redis 会话、返回 JWT，后续请求通过 Bearer token 鉴权。JWT_SECRET 至少需要 32 字节，生产环境必须使用独立的强随机密钥。</w:t>
      </w:r>
    </w:p>
    <w:p>
      <w:pPr>
        <w:pStyle w:val="ManualBullet"/>
        <w:numPr>
          <w:ilvl w:val="0"/>
          <w:numId w:val="2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数据库密码、Redis 密码、JWT_SECRET 和 DeepSeek API Key 必须通过环境变量或 Secret 管理，不写入 Git。</w:t>
      </w:r>
    </w:p>
    <w:p>
      <w:pPr>
        <w:pStyle w:val="ManualBullet"/>
        <w:numPr>
          <w:ilvl w:val="0"/>
          <w:numId w:val="2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生产环境建议启用 HTTPS；摄像头和 WebGPU 等浏览器能力依赖安全上下文。</w:t>
      </w:r>
    </w:p>
    <w:p>
      <w:pPr>
        <w:pStyle w:val="ManualBullet"/>
        <w:numPr>
          <w:ilvl w:val="0"/>
          <w:numId w:val="2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验证码在生产环境不要关闭；登录失败和权限不足应返回统一 JSON 错误。</w:t>
      </w:r>
    </w:p>
    <w:p>
      <w:pPr>
        <w:pStyle w:val="ManualBullet"/>
        <w:numPr>
          <w:ilvl w:val="0"/>
          <w:numId w:val="21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文件上传只允许业务需要的类型和大小，文件名由后端重新生成，避免路径穿越。</w:t>
      </w:r>
    </w:p>
    <w:p>
      <w:pPr>
        <w:pStyle w:val="Heading1"/>
        <w:keepNext/>
        <w:keepLines/>
        <w:pageBreakBefore w:val="0"/>
      </w:pPr>
      <w:r>
        <w:t>8  启动、维护与问题处理</w:t>
      </w:r>
    </w:p>
    <w:p>
      <w:pPr>
        <w:pStyle w:val="Heading2"/>
        <w:keepNext/>
        <w:keepLines/>
        <w:pageBreakBefore w:val="0"/>
      </w:pPr>
      <w:r>
        <w:t>8.1  本地启动与健康检查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全新数据库通常直接导入 docs/database/zhihuitong.sql；从旧库升级时，再按需要执行 auth_schema.sql、data_scope_migration.sql 和 ai_decision_support_migration.sql。Redis 无密码时将 REDIS_PASSWORD 留空，有密码时保持后端与 Redis 配置一致。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启动 MySQL，并创建 zhihuitong 数据库。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导入 docs/database/zhihuitong.sql 及必要的迁移脚本。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启动 Redis，确认端口和密码配置可用。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 backend 目录设置环境变量，执行 mvn spring-boot:run。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在 frontend 目录执行 npm install 和 npm run dev。</w:t>
      </w:r>
    </w:p>
    <w:p>
      <w:pPr>
        <w:pStyle w:val="ManualStep"/>
        <w:numPr>
          <w:ilvl w:val="0"/>
          <w:numId w:val="22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浏览器访问 http://localhost:5173，检查验证码、登录和首页看板。</w:t>
      </w:r>
    </w:p>
    <w:p>
      <w:pPr>
        <w:pStyle w:val="ManualCode"/>
        <w:keepLines/>
        <w:ind w:left="113" w:right="113"/>
        <w:shd w:fill="F5F7FA"/>
        <w:pBdr>
          <w:left w:val="single" w:sz="18" w:space="8" w:color="D6DEE7"/>
        </w:pBdr>
      </w:pPr>
      <w:r>
        <w:rPr>
          <w:rFonts w:ascii="宋体" w:hAnsi="宋体" w:eastAsia="宋体"/>
          <w:b w:val="0"/>
          <w:i w:val="0"/>
          <w:color w:val="142238"/>
          <w:sz w:val="18"/>
        </w:rPr>
        <w:t># 后端</w:t>
        <w:br/>
        <w:t>cd backend</w:t>
        <w:br/>
        <w:t>mvn spring-boot:run</w:t>
        <w:br/>
        <w:br/>
        <w:t># 前端</w:t>
        <w:br/>
        <w:t>cd frontend</w:t>
        <w:br/>
        <w:t>npm install</w:t>
        <w:br/>
        <w:t>npm run dev</w:t>
        <w:br/>
        <w:br/>
        <w:t># 健康检查</w:t>
        <w:br/>
        <w:t>http://localhost:8080/actuator/health</w:t>
      </w:r>
    </w:p>
    <w:p>
      <w:pPr>
        <w:pStyle w:val="Heading2"/>
        <w:keepNext/>
        <w:keepLines/>
        <w:pageBreakBefore w:val="0"/>
      </w:pPr>
      <w:r>
        <w:t>8.2  常见问题处理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600"/>
        <w:gridCol w:w="5760"/>
      </w:tblGrid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现象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优先检查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JWT secret must be at least 32 bytes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JWT_SECRET 未配置或长度不足；生产环境使用强随机密钥。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验证码不显示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后端是否启动、Redis 是否可连接、/auth/captcha 是否返回 200、/prod-api 是否正确代理。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Redis NOAUTH / WRONGPASS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Redis 是否启用密码，以及 REDIS_PASSWORD 是否与 Redis 配置一致。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质检模型加载失败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AI_YOLO_MODEL_PATH、容器挂载、模型 metadata、manifest 接口和 /ort/*.wasm、/ort/*.mjs。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正在创建推理会话/预热模型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COOP、COEP、CORP 响应头、crossOriginIsolated、WASM 单线程策略和 Worker 错误。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结果图不显示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上传/结果目录、静态资源映射、文件是否生成以及前端 image 工具。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前端页面 502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后端容器、后端端口、Nginx /prod-api 代理和后端日志。</w:t>
            </w:r>
          </w:p>
        </w:tc>
      </w:tr>
      <w:t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DeepSeek 超时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API Key、服务器网络、超时时间和后端降级逻辑。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8.3  部署与运行检查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生产环境可采用前端容器、后端容器、宿主机 MySQL 和 Redis 容器/宿主机 Redis 的组合。模型和质检附件目录应挂载到持久化目录，前端 Nginx 应配置 /prod-api 反向代理、WASM/MJS MIME 类型和 COOP/COEP/CORP 响应头。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检查项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通过标准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数据库与 Redis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可连接，数据脚本已导入，密码配置一致。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后端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/actuator/health 返回 UP。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前端代理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/prod-api/auth/captcha 返回 200。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模型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/api/ai/browser-inference/manifest 返回当前契约，模型文件可受控下载。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静态资源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/ort/*.wasm 为 application/wasm，/ort/*.mjs 为 application/javascript。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浏览器环境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isSecureContext 与 crossOriginIsolated 满足部署要求，Provider 显示 WebGPU 或 WASM。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停止实时质检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摄像头指示灯关闭，Worker、Timer 和 Tensor 释放。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8.4  提交前检查</w:t>
      </w:r>
    </w:p>
    <w:p>
      <w:pPr>
        <w:pStyle w:val="ManualBullet"/>
        <w:numPr>
          <w:ilvl w:val="0"/>
          <w:numId w:val="2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前端执行 npm test、npm run build；涉及浏览器质检时执行 npm run test:e2e:onnx。</w:t>
      </w:r>
    </w:p>
    <w:p>
      <w:pPr>
        <w:pStyle w:val="ManualBullet"/>
        <w:numPr>
          <w:ilvl w:val="0"/>
          <w:numId w:val="2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后端执行 mvn test 和 mvn package。</w:t>
      </w:r>
    </w:p>
    <w:p>
      <w:pPr>
        <w:pStyle w:val="ManualBullet"/>
        <w:numPr>
          <w:ilvl w:val="0"/>
          <w:numId w:val="2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核对数据库迁移脚本、Entity、DTO/VO、Mapper/Service 和前端类型是否同步。</w:t>
      </w:r>
    </w:p>
    <w:p>
      <w:pPr>
        <w:pStyle w:val="ManualBullet"/>
        <w:numPr>
          <w:ilvl w:val="0"/>
          <w:numId w:val="2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确认日志中没有把密码、JWT_SECRET、DeepSeek Key 或模型 Token 打印出来。</w:t>
      </w:r>
    </w:p>
    <w:p>
      <w:pPr>
        <w:pStyle w:val="ManualBullet"/>
        <w:numPr>
          <w:ilvl w:val="0"/>
          <w:numId w:val="23"/>
        </w:numPr>
      </w:pPr>
      <w:r>
        <w:rPr>
          <w:rFonts w:ascii="宋体" w:hAnsi="宋体" w:eastAsia="宋体"/>
          <w:b w:val="0"/>
          <w:i w:val="0"/>
          <w:color w:val="1B2430"/>
          <w:sz w:val="21"/>
        </w:rPr>
        <w:t>真实部署环境中重新验收摄像头权限、WebGPU/WASM、模型下载和结果图访问。</w:t>
      </w:r>
    </w:p>
    <w:p>
      <w:pPr>
        <w:pStyle w:val="Heading1"/>
        <w:keepNext/>
        <w:keepLines/>
        <w:pageBreakBefore w:val="0"/>
      </w:pPr>
      <w:r>
        <w:t>附录 A  功能导航与接口速查</w:t>
      </w:r>
    </w:p>
    <w:p>
      <w:pPr>
        <w:pStyle w:val="Heading2"/>
        <w:keepNext/>
        <w:keepLines/>
        <w:pageBreakBefore w:val="0"/>
      </w:pPr>
      <w:r>
        <w:t>A.1  功能导航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00"/>
        <w:gridCol w:w="3600"/>
        <w:gridCol w:w="356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导航模块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页面/能力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用途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看板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首页看板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查看待检批次、异常、放行率、排产负荷和计划概览。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订单管理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订单、订单明细、订单批次关联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管理需求、产品明细和生产资源分配。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来料资源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来料批次、批次资源池、IQC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维护可生产资源和来料检验。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工艺中心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工艺路线、工序、设备、设备能力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维护生产步骤与资源能力。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排产管理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订单排产池、批次执行池、生产计划、甘特图、AI 排产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将订单和批次转化为生产安排。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质量管理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实时质检、异常闭环、返工处理、AI 质检分析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完成检测、复核、异常处理和报告分析。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系统管理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用户、角色、菜单、部门、岗位、在线用户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维护账号、权限和组织信息。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A.2 认证与核心接口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方法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路径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0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/auth/captcha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获取验证码。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/auth/login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登录。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/auth/me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当前用户信息。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/auth/logout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退出登录。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/api/dashboard/overview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看板汇总。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GET/POST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/api/orders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订单列表/新增。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GET/POST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/api/production-plans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生产计划列表/新增。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/api/qc-records/client-detect-results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保存浏览器图片检测结果。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/api/qc-stream-sessions/{sessionId}/client-events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保存连续缺陷事件。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/api/ai/schedule/plans/{planId}/suggestions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生成排产建议。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POST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/api/ai/quality/records/{inspectionId}/analysis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19"/>
              </w:rPr>
              <w:t>生成质检分析。</w:t>
            </w:r>
          </w:p>
        </w:tc>
      </w:tr>
    </w:tbl>
    <w:p>
      <w:pPr>
        <w:spacing w:after="40"/>
      </w:pPr>
    </w:p>
    <w:p>
      <w:pPr>
        <w:pStyle w:val="ManualNote"/>
        <w:keepLines/>
        <w:spacing w:before="120" w:after="160"/>
        <w:ind w:left="102" w:right="102"/>
        <w:shd w:fill="EEF4FA"/>
        <w:pBdr>
          <w:left w:val="single" w:sz="18" w:space="8" w:color="1F4E79"/>
        </w:pBdr>
      </w:pPr>
      <w:r>
        <w:rPr>
          <w:rFonts w:ascii="宋体" w:hAnsi="宋体" w:eastAsia="宋体"/>
          <w:b/>
          <w:i w:val="0"/>
          <w:color w:val="1F4E79"/>
          <w:sz w:val="21"/>
        </w:rPr>
        <w:t>接口说明：</w:t>
      </w:r>
      <w:r>
        <w:rPr>
          <w:rFonts w:ascii="宋体" w:hAnsi="宋体" w:eastAsia="宋体"/>
          <w:b w:val="0"/>
          <w:i w:val="0"/>
          <w:color w:val="1B2430"/>
          <w:sz w:val="21"/>
        </w:rPr>
        <w:t>前端开发环境统一通过 /prod-api 代理到后端；接口的完整参数和返回结构以 docs/07-接口说明.md 与当前代码为准。</w:t>
      </w:r>
    </w:p>
    <w:p>
      <w:pPr>
        <w:pStyle w:val="Heading1"/>
        <w:keepNext/>
        <w:keepLines/>
        <w:pageBreakBefore w:val="0"/>
      </w:pPr>
      <w:r>
        <w:t>附录 B  状态、模型与路径说明</w:t>
      </w:r>
    </w:p>
    <w:p>
      <w:pPr>
        <w:pStyle w:val="Heading2"/>
        <w:keepNext/>
        <w:keepLines/>
        <w:pageBreakBefore w:val="0"/>
      </w:pPr>
      <w:r>
        <w:t>B.1  页面状态说明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页面中可能出现的状态/标签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说明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新建、草稿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订单或生产计划等业务对象的基础状态示例，具体值以当前字典为准。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待处理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异常记录尚未完成处理的页面状态示例。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通过/不通过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质量判定结果的页面展示示例；正式结果以质检记录为准。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WebGPU/WASM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浏览器推理实际 Provider，不能仅根据系统显卡或 navigator.gpu 推断。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B.2  文件与模型路径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000"/>
        <w:gridCol w:w="6360"/>
      </w:tblGrid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资源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/>
                <w:color w:val="142238"/>
                <w:sz w:val="21"/>
              </w:rPr>
              <w:t>默认位置/配置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ONNX 模型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docs/best.onnx；后端由 AI_YOLO_MODEL_PATH 配置。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质检上传原图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photo/upload；由 INSPECTION_STORAGE_UPLOAD_ROOT 配置。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质检结果图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photo/results；由 INSPECTION_STORAGE_RESULT_ROOT 配置。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数据库脚本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docs/database/zhihuitong.sql 及认证、数据权限、AI 迁移脚本。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浏览器推理资源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color w:val="1B2430"/>
                <w:sz w:val="20"/>
              </w:rPr>
              <w:t>前端 dist/ort 下的 ONNX Runtime Web WASM/MJS 运行文件。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pageBreakBefore w:val="0"/>
      </w:pPr>
      <w:r>
        <w:t>B.3  编制依据与真实性说明</w:t>
      </w:r>
    </w:p>
    <w:p>
      <w:pPr/>
      <w:r>
        <w:rPr>
          <w:rFonts w:ascii="宋体" w:hAnsi="宋体" w:eastAsia="宋体"/>
          <w:b w:val="0"/>
          <w:i w:val="0"/>
          <w:color w:val="1B2430"/>
          <w:sz w:val="22"/>
        </w:rPr>
        <w:t>本手册依据 D:\projects\saas\docs 目录中的项目总览、快速启动、系统架构、核心业务流程、接口说明、数据库说明、认证权限与安全、AI 能力说明、测试与排错、部署运维及浏览器 ONNX 推理实施记录编制。页面截图来自 docs/manual-assets 目录中的当前运行页面截图；未对项目不存在的菜单、接口、数据和测试结果进行补写。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134" w:right="1219" w:bottom="1020" w:left="1219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宋体" w:hAnsi="宋体" w:eastAsia="宋体"/>
        <w:b w:val="0"/>
        <w:i w:val="0"/>
        <w:color w:val="6B7785"/>
        <w:sz w:val="19"/>
      </w:rPr>
      <w:t xml:space="preserve">第 </w:t>
    </w:r>
    <w:r>
      <w:rPr>
        <w:rFonts w:ascii="宋体" w:hAnsi="宋体" w:eastAsia="宋体"/>
        <w:b w:val="0"/>
        <w:i w:val="0"/>
        <w:color w:val="6B7785"/>
        <w:sz w:val="19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6B7785"/>
        <w:sz w:val="19"/>
      </w:rPr>
      <w:t xml:space="preserve"> 页 / 共 </w:t>
    </w:r>
    <w:r>
      <w:rPr>
        <w:rFonts w:ascii="宋体" w:hAnsi="宋体" w:eastAsia="宋体"/>
        <w:b w:val="0"/>
        <w:i w:val="0"/>
        <w:color w:val="6B7785"/>
        <w:sz w:val="19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6B7785"/>
        <w:sz w:val="19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41" w:val="right"/>
      </w:tabs>
      <w:spacing w:after="40"/>
      <w:jc w:val="left"/>
      <w:pBdr>
        <w:bottom w:val="single" w:sz="8" w:space="4" w:color="D6DEE7"/>
      </w:pBdr>
    </w:pPr>
    <w:r>
      <w:rPr>
        <w:rFonts w:ascii="宋体" w:hAnsi="宋体" w:eastAsia="宋体"/>
        <w:b w:val="0"/>
        <w:i w:val="0"/>
        <w:color w:val="6B7785"/>
        <w:sz w:val="19"/>
      </w:rPr>
      <w:t>织慧通智能纺织生产与质量管理系统 V1.0</w:t>
    </w:r>
    <w:r>
      <w:rPr>
        <w:rFonts w:ascii="宋体" w:hAnsi="宋体" w:eastAsia="宋体"/>
        <w:b w:val="0"/>
        <w:i w:val="0"/>
        <w:color w:val="6B7785"/>
        <w:sz w:val="19"/>
      </w:rPr>
      <w:tab/>
      <w:t>用户操作手册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24" w:lineRule="auto"/>
    </w:pPr>
    <w:rPr>
      <w:rFonts w:ascii="宋体" w:hAnsi="宋体" w:eastAsia="宋体"/>
      <w:b w:val="0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 w:line="276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E875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4223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0" w:after="160"/>
    </w:pPr>
    <w:rPr>
      <w:rFonts w:ascii="宋体" w:hAnsi="宋体" w:eastAsia="宋体"/>
      <w:b w:val="0"/>
      <w:bCs/>
      <w:color w:val="6B778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Chapter">
    <w:name w:val="TOC Chapter"/>
    <w:pPr>
      <w:spacing w:before="0" w:after="80" w:line="276" w:lineRule="auto"/>
    </w:pPr>
    <w:rPr>
      <w:rFonts w:ascii="宋体" w:hAnsi="宋体" w:eastAsia="宋体"/>
      <w:b w:val="0"/>
      <w:color w:val="142238"/>
      <w:sz w:val="23"/>
    </w:rPr>
  </w:style>
  <w:style w:type="paragraph" w:customStyle="1" w:styleId="TOCSection">
    <w:name w:val="TOC Section"/>
    <w:pPr>
      <w:spacing w:before="0" w:after="40" w:line="276" w:lineRule="auto"/>
    </w:pPr>
    <w:rPr>
      <w:rFonts w:ascii="宋体" w:hAnsi="宋体" w:eastAsia="宋体"/>
      <w:b w:val="0"/>
      <w:color w:val="1B2430"/>
      <w:sz w:val="21"/>
    </w:rPr>
  </w:style>
  <w:style w:type="paragraph" w:customStyle="1" w:styleId="ManualNote">
    <w:name w:val="Manual Note"/>
    <w:pPr>
      <w:spacing w:before="0" w:after="160" w:line="288" w:lineRule="auto"/>
    </w:pPr>
    <w:rPr>
      <w:rFonts w:ascii="宋体" w:hAnsi="宋体" w:eastAsia="宋体"/>
      <w:b w:val="0"/>
      <w:color w:val="1B2430"/>
      <w:sz w:val="21"/>
    </w:rPr>
  </w:style>
  <w:style w:type="paragraph" w:customStyle="1" w:styleId="ManualCode">
    <w:name w:val="Manual Code"/>
    <w:pPr>
      <w:spacing w:before="0" w:after="160" w:line="276" w:lineRule="auto"/>
    </w:pPr>
    <w:rPr>
      <w:rFonts w:ascii="宋体" w:hAnsi="宋体" w:eastAsia="宋体"/>
      <w:b w:val="0"/>
      <w:color w:val="142238"/>
      <w:sz w:val="18"/>
    </w:rPr>
  </w:style>
  <w:style w:type="paragraph" w:customStyle="1" w:styleId="ManualStep">
    <w:name w:val="Manual Step"/>
    <w:pPr>
      <w:spacing w:before="0" w:after="60" w:line="288" w:lineRule="auto"/>
      <w:ind w:left="482" w:hanging="283"/>
    </w:pPr>
    <w:rPr>
      <w:rFonts w:ascii="宋体" w:hAnsi="宋体" w:eastAsia="宋体"/>
      <w:b w:val="0"/>
      <w:color w:val="1B2430"/>
      <w:sz w:val="21"/>
    </w:rPr>
  </w:style>
  <w:style w:type="paragraph" w:customStyle="1" w:styleId="ManualBullet">
    <w:name w:val="Manual Bullet"/>
    <w:pPr>
      <w:spacing w:before="0" w:after="60" w:line="288" w:lineRule="auto"/>
      <w:ind w:left="482" w:hanging="283"/>
    </w:pPr>
    <w:rPr>
      <w:rFonts w:ascii="宋体" w:hAnsi="宋体" w:eastAsia="宋体"/>
      <w:b w:val="0"/>
      <w:color w:val="1B243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织慧通智能纺织生产与质量管理系统 V1.0 用户操作手册</dc:title>
  <dc:subject>纺织生产、排产、质量检测、AI 能力与系统管理操作说明</dc:subject>
  <dc:creator/>
  <cp:keywords/>
  <dc:description>内容依据项目 docs 文档与当前运行页面截图编制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