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织慧通智能纺织生产与质量管理系统 V1.0</w:t>
      </w:r>
    </w:p>
    <w:p>
      <w:pPr>
        <w:pStyle w:val="Subtitle"/>
      </w:pPr>
      <w:r>
        <w:t>用户操作手册目录（初稿）</w:t>
      </w:r>
    </w:p>
    <w:p>
      <w:pPr>
        <w:spacing w:before="0" w:after="200" w:line="300" w:lineRule="auto"/>
      </w:pPr>
      <w:r>
        <w:rPr>
          <w:rFonts w:ascii="黑体" w:hAnsi="黑体" w:eastAsia="黑体"/>
          <w:b/>
          <w:color w:val="000000"/>
          <w:sz w:val="21"/>
        </w:rPr>
        <w:t>说明：</w:t>
      </w:r>
      <w:r>
        <w:rPr>
          <w:rFonts w:ascii="宋体" w:hAnsi="宋体" w:eastAsia="宋体"/>
          <w:b w:val="0"/>
          <w:color w:val="000000"/>
          <w:sz w:val="21"/>
        </w:rPr>
        <w:t>本目录依据当前项目的实际菜单、业务流程和开发文档整理。页码将在各章节正文、操作步骤和界面截图完成后统一更新。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前言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编写目的与适用对象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系统使用范围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文档阅读约定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第一章 系统概述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1.1 系统定位与适用范围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1.2 功能模块总览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1.3 用户角色与操作边界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1.4 页面通用操作约定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第二章 系统登录与基础设置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2.1 运行环境与访问地址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2.2 验证码登录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2.3 首页进入与个人信息查看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2.4 修改登录密码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2.5 退出登录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2.6 浏览器摄像头与本地推理权限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第三章 首页看板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3.1 看板首页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3.2 生产、订单与质量指标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3.3 汇总数据查看与业务页面跳转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第四章 订单管理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4.1 订单列表与查询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4.2 新增、编辑与删除订单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4.3 订单详情与订单明细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4.4 订单批次绑定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4.5 订单状态维护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4.6 订单排产池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第五章 来料资源与 IQC 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5.1 来料资源池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5.2 来料批次主数据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5.3 批次导入、导出与维护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5.4 IQC 任务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5.5 IQC 结果与复核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5.6 放行决策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第六章 工艺中心与设备管理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6.1 工艺路线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6.2 工序与工艺路线明细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6.3 设备管理与设备状态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6.4 班次日历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6.5 工艺档案中心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6.6 布料瑕疵种类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第七章 排产与生产计划管理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7.1 订单排产池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7.2 批次执行池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7.3 新建与维护生产计划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7.4 计划状态与工序计划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7.5 工序设备分配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7.6 生产调度甘特图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7.7 AI 智能排产建议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7.8 排产建议确认、应用与重排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7.9 重排日志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第八章 质量管理与智能质检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8.1 质量管理功能概览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8.2 实时质检与摄像头会话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8.3 离线图片检测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8.4 浏览器 ONNX 推理状态（WebGPU/WASM）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8.5 缺陷识别结果与检测附件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8.6 质检任务与质检记录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8.7 质检结果复核与关闭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8.8 异常记录与异常闭环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8.9 返工处理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8.10 CAPA 纠正预防措施跟踪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8.11 AI 质检分析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第九章 系统管理与权限配置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9.1 用户管理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9.2 角色管理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9.3 菜单与按钮权限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9.4 部门管理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9.5 岗位管理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9.6 在线用户与会话管理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9.7 数据权限范围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第十章 通用操作说明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10.1 列表查询、筛选与分页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10.2 表单填写、校验与提交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10.3 导入、导出与批量操作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10.4 图片、文件与检测附件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10.5 状态、提示与确认操作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第十一章 常见问题与故障排查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11.1 登录失败或验证码不显示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11.2 页面访问异常或接口 502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11.3 会话失效与 Redis 相关问题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11.4 质检模型加载失败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11.5 质检结果图或附件不显示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11.6 摄像头、WebGPU/WASM 与浏览器权限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11.7 AI 排产或 AI 质检分析超时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附录 A 状态值与术语说明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附录 B 质量判定规则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B.1 PASS、FAIL、RECHECK 结果说明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2"/>
        <w:tabs>
          <w:tab w:pos="9128" w:val="right" w:leader="dot"/>
        </w:tabs>
      </w:pPr>
      <w:r>
        <w:rPr>
          <w:rFonts w:ascii="宋体" w:hAnsi="宋体" w:eastAsia="宋体"/>
          <w:b w:val="0"/>
          <w:color w:val="000000"/>
          <w:sz w:val="21"/>
        </w:rPr>
        <w:t>B.2 缺陷类别、置信度与坐标说明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附录 C 角色与权限对照表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pStyle w:val="ManualTOCLevel1"/>
        <w:tabs>
          <w:tab w:pos="9128" w:val="right" w:leader="dot"/>
        </w:tabs>
      </w:pPr>
      <w:r>
        <w:rPr>
          <w:rFonts w:ascii="黑体" w:hAnsi="黑体" w:eastAsia="黑体"/>
          <w:b/>
          <w:color w:val="000000"/>
          <w:sz w:val="23"/>
        </w:rPr>
        <w:t>附录 D 系统运行环境与参数检查表</w:t>
      </w:r>
      <w:r>
        <w:rPr>
          <w:rFonts w:ascii="宋体" w:hAnsi="宋体" w:eastAsia="宋体"/>
          <w:b w:val="0"/>
          <w:color w:val="777777"/>
          <w:sz w:val="19"/>
        </w:rPr>
        <w:tab/>
        <w:t>待定</w:t>
      </w:r>
    </w:p>
    <w:p>
      <w:pPr>
        <w:spacing w:before="240" w:after="0"/>
      </w:pPr>
      <w:r>
        <w:rPr>
          <w:rFonts w:ascii="黑体" w:hAnsi="黑体" w:eastAsia="黑体"/>
          <w:b/>
          <w:color w:val="000000"/>
          <w:sz w:val="21"/>
        </w:rPr>
        <w:t>字体约定：</w:t>
      </w:r>
      <w:r>
        <w:rPr>
          <w:rFonts w:ascii="宋体" w:hAnsi="宋体" w:eastAsia="宋体"/>
          <w:b w:val="0"/>
          <w:color w:val="000000"/>
          <w:sz w:val="21"/>
        </w:rPr>
        <w:t>标题、章节标题使用黑体；目录正文和说明文字使用宋体。后续正文将沿用同一字体体系。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宋体" w:hAnsi="宋体" w:eastAsia="宋体"/>
        <w:b w:val="0"/>
        <w:color w:val="666666"/>
        <w:sz w:val="18"/>
      </w:rPr>
      <w:t>第</w:t>
    </w:r>
    <w:r>
      <w:rPr>
        <w:rFonts w:ascii="宋体" w:hAnsi="宋体" w:eastAsia="宋体"/>
        <w:b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66666"/>
        <w:sz w:val="18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宋体" w:hAnsi="宋体" w:eastAsia="宋体"/>
        <w:b w:val="0"/>
        <w:color w:val="666666"/>
        <w:sz w:val="18"/>
      </w:rPr>
      <w:t>织慧通智能纺织生产与质量管理系统 V1.0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auto"/>
    </w:pPr>
    <w:rPr>
      <w:rFonts w:ascii="宋体" w:hAnsi="宋体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OCLevel1">
    <w:name w:val="Manual TOC Level 1"/>
    <w:pPr>
      <w:keepLines/>
      <w:tabs>
        <w:tab w:pos="9128" w:val="right" w:leader="dot"/>
      </w:tabs>
      <w:spacing w:before="140" w:after="40" w:line="276" w:lineRule="auto"/>
      <w:ind w:left="0" w:firstLine="0"/>
    </w:pPr>
    <w:rPr>
      <w:rFonts w:ascii="黑体" w:hAnsi="黑体" w:eastAsia="黑体"/>
      <w:b/>
      <w:color w:val="000000"/>
      <w:sz w:val="23"/>
    </w:rPr>
  </w:style>
  <w:style w:type="paragraph" w:customStyle="1" w:styleId="ManualTOCLevel2">
    <w:name w:val="Manual TOC Level 2"/>
    <w:pPr>
      <w:keepLines/>
      <w:tabs>
        <w:tab w:pos="9128" w:val="right" w:leader="dot"/>
      </w:tabs>
      <w:spacing w:before="40" w:after="20" w:line="276" w:lineRule="auto"/>
      <w:ind w:left="159" w:firstLine="0"/>
    </w:pPr>
    <w:rPr>
      <w:rFonts w:ascii="宋体" w:hAnsi="宋体" w:eastAsia="宋体"/>
      <w:b w:val="0"/>
      <w:color w:val="000000"/>
      <w:sz w:val="21"/>
    </w:rPr>
  </w:style>
  <w:style w:type="paragraph" w:customStyle="1" w:styleId="ManualTOCLevel3">
    <w:name w:val="Manual TOC Level 3"/>
    <w:pPr>
      <w:keepLines/>
      <w:tabs>
        <w:tab w:pos="9128" w:val="right" w:leader="dot"/>
      </w:tabs>
      <w:spacing w:before="20" w:after="20" w:line="276" w:lineRule="auto"/>
      <w:ind w:left="317" w:firstLine="0"/>
    </w:pPr>
    <w:rPr>
      <w:rFonts w:ascii="宋体" w:hAnsi="宋体" w:eastAsia="宋体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织慧通智能纺织生产与质量管理系统V1.0-用户操作手册目录初稿</dc:title>
  <dc:subject>用户操作手册目录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