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CF6" w:rsidRDefault="001A3738" w:rsidP="00E740F9">
      <w:pPr>
        <w:pStyle w:val="Titre1"/>
      </w:pPr>
      <w:r>
        <w:t>Méthode de Givens</w:t>
      </w:r>
      <w:r w:rsidR="00E740F9">
        <w:t xml:space="preserve"> </w:t>
      </w:r>
    </w:p>
    <w:p w:rsidR="00DD301F" w:rsidRDefault="00DD301F" w:rsidP="00083BD7">
      <w:pPr>
        <w:rPr>
          <w:rFonts w:eastAsiaTheme="minorEastAsia"/>
        </w:rPr>
      </w:pPr>
    </w:p>
    <w:p w:rsidR="003B4AEA" w:rsidRDefault="003B4AEA" w:rsidP="00083BD7">
      <w:pPr>
        <w:rPr>
          <w:rFonts w:eastAsiaTheme="minorEastAsia"/>
        </w:rPr>
      </w:pPr>
      <w:r>
        <w:rPr>
          <w:rFonts w:eastAsiaTheme="minorEastAsia"/>
        </w:rPr>
        <w:t>C’est une méthode qui utilise les rotations de Givens au lieu de réflexions (Householder) pour réduire une ma</w:t>
      </w:r>
      <w:r w:rsidR="000C6A7B">
        <w:rPr>
          <w:rFonts w:eastAsiaTheme="minorEastAsia"/>
        </w:rPr>
        <w:t>trice à une forme tridiagonale.</w:t>
      </w:r>
    </w:p>
    <w:p w:rsidR="003B4AEA" w:rsidRDefault="003B4AEA" w:rsidP="003B4AEA">
      <w:pPr>
        <w:pStyle w:val="Titre1"/>
        <w:rPr>
          <w:rFonts w:eastAsiaTheme="minorEastAsia"/>
        </w:rPr>
      </w:pPr>
      <w:r>
        <w:rPr>
          <w:rFonts w:eastAsiaTheme="minorEastAsia"/>
        </w:rPr>
        <w:t>Rotation de Givens</w:t>
      </w:r>
    </w:p>
    <w:p w:rsidR="003B4AEA" w:rsidRDefault="003B4AEA" w:rsidP="003B4AEA">
      <w:pPr>
        <w:rPr>
          <w:rFonts w:eastAsiaTheme="minorEastAsia"/>
        </w:rPr>
      </w:pPr>
      <w:r>
        <w:t xml:space="preserve">Une rotation de Givens est définie par une matrice </w:t>
      </w:r>
      <m:oMath>
        <m:r>
          <w:rPr>
            <w:rFonts w:ascii="Cambria Math" w:hAnsi="Cambria Math"/>
          </w:rPr>
          <m:t>G(i,j,θ)</m:t>
        </m:r>
      </m:oMath>
      <w:r>
        <w:rPr>
          <w:rFonts w:eastAsiaTheme="minorEastAsia"/>
        </w:rPr>
        <w:t xml:space="preserve"> qui est essentiellement la matrice identité à l’exception de quatre éléments qui forment une sous matrice de rotation </w:t>
      </w:r>
      <m:oMath>
        <m:r>
          <w:rPr>
            <w:rFonts w:ascii="Cambria Math" w:eastAsiaTheme="minorEastAsia" w:hAnsi="Cambria Math"/>
          </w:rPr>
          <m:t>2×2</m:t>
        </m:r>
      </m:oMath>
      <w:r>
        <w:rPr>
          <w:rFonts w:eastAsiaTheme="minorEastAsia"/>
        </w:rPr>
        <w:t xml:space="preserve">. Cette sous matrice effectue une rotation dans le plan formé par les axes </w:t>
      </w:r>
      <m:oMath>
        <m:r>
          <w:rPr>
            <w:rFonts w:ascii="Cambria Math" w:eastAsiaTheme="minorEastAsia" w:hAnsi="Cambria Math"/>
          </w:rPr>
          <m:t>i</m:t>
        </m:r>
      </m:oMath>
      <w:r>
        <w:rPr>
          <w:rFonts w:eastAsiaTheme="minorEastAsia"/>
        </w:rPr>
        <w:t xml:space="preserve"> et </w:t>
      </w:r>
      <m:oMath>
        <m:r>
          <w:rPr>
            <w:rFonts w:ascii="Cambria Math" w:eastAsiaTheme="minorEastAsia" w:hAnsi="Cambria Math"/>
          </w:rPr>
          <m:t>j</m:t>
        </m:r>
      </m:oMath>
      <w:r>
        <w:rPr>
          <w:rFonts w:eastAsiaTheme="minorEastAsia"/>
        </w:rPr>
        <w:t xml:space="preserve">. </w:t>
      </w:r>
    </w:p>
    <w:p w:rsidR="003B4AEA" w:rsidRDefault="003B4AEA" w:rsidP="003B4AEA">
      <w:pPr>
        <w:jc w:val="center"/>
      </w:pPr>
      <w:r w:rsidRPr="003B4AEA">
        <w:rPr>
          <w:noProof/>
          <w:lang w:eastAsia="fr-FR"/>
        </w:rPr>
        <w:drawing>
          <wp:inline distT="0" distB="0" distL="0" distR="0" wp14:anchorId="3BF68127" wp14:editId="2B20B27F">
            <wp:extent cx="1959866" cy="1193470"/>
            <wp:effectExtent l="0" t="0" r="254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7956" cy="1210575"/>
                    </a:xfrm>
                    <a:prstGeom prst="rect">
                      <a:avLst/>
                    </a:prstGeom>
                  </pic:spPr>
                </pic:pic>
              </a:graphicData>
            </a:graphic>
          </wp:inline>
        </w:drawing>
      </w:r>
    </w:p>
    <w:p w:rsidR="00E51662" w:rsidRDefault="00E51662" w:rsidP="00E51662">
      <w:r>
        <w:t xml:space="preserve">Pour chaque élément non désiré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Pr>
          <w:rFonts w:eastAsiaTheme="minorEastAsia"/>
        </w:rPr>
        <w:t xml:space="preserve"> que nous souhaitons annuler, nous allons créer une rotation de Givens. Cette rotation est définie de manière à annuler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en affectant seulement les lignes (ou colonnes) </w:t>
      </w:r>
      <m:oMath>
        <m:r>
          <w:rPr>
            <w:rFonts w:ascii="Cambria Math" w:eastAsiaTheme="minorEastAsia" w:hAnsi="Cambria Math"/>
          </w:rPr>
          <m:t>i</m:t>
        </m:r>
      </m:oMath>
      <w:r>
        <w:rPr>
          <w:rFonts w:eastAsiaTheme="minorEastAsia"/>
        </w:rPr>
        <w:t xml:space="preserve"> et </w:t>
      </w:r>
      <m:oMath>
        <m:r>
          <w:rPr>
            <w:rFonts w:ascii="Cambria Math" w:eastAsiaTheme="minorEastAsia" w:hAnsi="Cambria Math"/>
          </w:rPr>
          <m:t>j</m:t>
        </m:r>
      </m:oMath>
      <w:r w:rsidR="00490C0E">
        <w:rPr>
          <w:rFonts w:eastAsiaTheme="minorEastAsia"/>
        </w:rPr>
        <w:t>.</w:t>
      </w:r>
    </w:p>
    <w:p w:rsidR="001B5000" w:rsidRDefault="00B16275" w:rsidP="001B5000">
      <w:pPr>
        <w:rPr>
          <w:rFonts w:eastAsiaTheme="minorEastAsia"/>
        </w:rPr>
      </w:pPr>
      <w:r>
        <w:rPr>
          <w:rFonts w:eastAsiaTheme="minorEastAsia"/>
        </w:rPr>
        <w:t xml:space="preserve">L’angle de rotation </w:t>
      </w:r>
      <m:oMath>
        <m:r>
          <w:rPr>
            <w:rFonts w:ascii="Cambria Math" w:eastAsiaTheme="minorEastAsia" w:hAnsi="Cambria Math"/>
          </w:rPr>
          <m:t>θ</m:t>
        </m:r>
      </m:oMath>
      <w:r>
        <w:rPr>
          <w:rFonts w:eastAsiaTheme="minorEastAsia"/>
        </w:rPr>
        <w:t xml:space="preserve"> est déterminé par les éléments que l’on souhaite annuler. Pour un élément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001B5000">
        <w:rPr>
          <w:rFonts w:eastAsiaTheme="minorEastAsia"/>
        </w:rPr>
        <w:t xml:space="preserve"> à annuler, l’angle </w:t>
      </w:r>
      <m:oMath>
        <m:r>
          <w:rPr>
            <w:rFonts w:ascii="Cambria Math" w:eastAsiaTheme="minorEastAsia" w:hAnsi="Cambria Math"/>
          </w:rPr>
          <m:t>θ</m:t>
        </m:r>
      </m:oMath>
      <w:r>
        <w:rPr>
          <w:rFonts w:eastAsiaTheme="minorEastAsia"/>
        </w:rPr>
        <w:t xml:space="preserve"> </w:t>
      </w:r>
      <w:r w:rsidR="001B5000">
        <w:rPr>
          <w:rFonts w:eastAsiaTheme="minorEastAsia"/>
        </w:rPr>
        <w:t xml:space="preserve">satisfait les relations trigonométriques, où </w:t>
      </w:r>
      <w:r w:rsidR="001B5000">
        <w:t xml:space="preserve"> </w:t>
      </w:r>
      <m:oMath>
        <m:r>
          <w:rPr>
            <w:rFonts w:ascii="Cambria Math" w:hAnsi="Cambria Math"/>
          </w:rPr>
          <m:t>c=</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1B5000">
        <w:rPr>
          <w:rFonts w:eastAsiaTheme="minorEastAsia"/>
        </w:rPr>
        <w:t xml:space="preserve"> et </w:t>
      </w:r>
      <m:oMath>
        <m:r>
          <w:rPr>
            <w:rFonts w:ascii="Cambria Math" w:eastAsiaTheme="minorEastAsia" w:hAnsi="Cambria Math"/>
          </w:rPr>
          <m:t>s=</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 </m:t>
        </m:r>
      </m:oMath>
      <w:r w:rsidR="001B5000">
        <w:rPr>
          <w:rFonts w:eastAsiaTheme="minorEastAsia"/>
        </w:rPr>
        <w:t>:</w:t>
      </w:r>
    </w:p>
    <w:p w:rsidR="001B5000" w:rsidRPr="00975190" w:rsidRDefault="001B5000" w:rsidP="001B5000">
      <w:pPr>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kk</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kk</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ij</m:t>
                      </m:r>
                    </m:sub>
                    <m:sup>
                      <m:r>
                        <w:rPr>
                          <w:rFonts w:ascii="Cambria Math" w:eastAsiaTheme="minorEastAsia" w:hAnsi="Cambria Math"/>
                        </w:rPr>
                        <m:t>2</m:t>
                      </m:r>
                    </m:sup>
                  </m:sSubSup>
                </m:e>
              </m:rad>
            </m:den>
          </m:f>
          <m:r>
            <w:rPr>
              <w:rFonts w:ascii="Cambria Math" w:eastAsiaTheme="minorEastAsia" w:hAnsi="Cambria Math"/>
            </w:rPr>
            <m:t>, s=</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kk</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ij</m:t>
                      </m:r>
                    </m:sub>
                    <m:sup>
                      <m:r>
                        <w:rPr>
                          <w:rFonts w:ascii="Cambria Math" w:eastAsiaTheme="minorEastAsia" w:hAnsi="Cambria Math"/>
                        </w:rPr>
                        <m:t>2</m:t>
                      </m:r>
                    </m:sup>
                  </m:sSubSup>
                </m:e>
              </m:rad>
            </m:den>
          </m:f>
          <m:r>
            <w:rPr>
              <w:rFonts w:ascii="Cambria Math" w:eastAsiaTheme="minorEastAsia" w:hAnsi="Cambria Math"/>
            </w:rPr>
            <m:t xml:space="preserve">,  </m:t>
          </m:r>
        </m:oMath>
      </m:oMathPara>
    </w:p>
    <w:p w:rsidR="00975190" w:rsidRPr="005F39F1" w:rsidRDefault="00975190" w:rsidP="001B5000">
      <w:pPr>
        <w:rPr>
          <w:rFonts w:eastAsiaTheme="minorEastAsia"/>
        </w:rPr>
      </w:pPr>
      <w:r>
        <w:rPr>
          <w:rFonts w:eastAsiaTheme="minorEastAsia"/>
        </w:rPr>
        <w:t xml:space="preserve">Où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kk</m:t>
            </m:r>
          </m:sub>
        </m:sSub>
      </m:oMath>
      <w:r>
        <w:rPr>
          <w:rFonts w:eastAsiaTheme="minorEastAsia"/>
        </w:rPr>
        <w:t xml:space="preserve">est un élément choisi pour la rotation avec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généralement l’élément sur la même ligne mais sur une la colonne </w:t>
      </w:r>
      <m:oMath>
        <m:r>
          <w:rPr>
            <w:rFonts w:ascii="Cambria Math" w:eastAsiaTheme="minorEastAsia" w:hAnsi="Cambria Math"/>
          </w:rPr>
          <m:t>j-1</m:t>
        </m:r>
      </m:oMath>
      <w:r>
        <w:rPr>
          <w:rFonts w:eastAsiaTheme="minorEastAsia"/>
        </w:rPr>
        <w:t>.</w:t>
      </w:r>
    </w:p>
    <w:p w:rsidR="005F39F1" w:rsidRDefault="005F39F1" w:rsidP="001B5000">
      <w:pPr>
        <w:rPr>
          <w:rFonts w:eastAsiaTheme="minorEastAsia"/>
        </w:rPr>
      </w:pPr>
      <m:oMath>
        <m:r>
          <w:rPr>
            <w:rFonts w:ascii="Cambria Math" w:eastAsiaTheme="minorEastAsia" w:hAnsi="Cambria Math"/>
          </w:rPr>
          <m:t>c</m:t>
        </m:r>
      </m:oMath>
      <w:r>
        <w:rPr>
          <w:rFonts w:eastAsiaTheme="minorEastAsia"/>
        </w:rPr>
        <w:t xml:space="preserve"> et </w:t>
      </w:r>
      <m:oMath>
        <m:r>
          <w:rPr>
            <w:rFonts w:ascii="Cambria Math" w:eastAsiaTheme="minorEastAsia" w:hAnsi="Cambria Math"/>
          </w:rPr>
          <m:t>s</m:t>
        </m:r>
      </m:oMath>
      <w:r>
        <w:rPr>
          <w:rFonts w:eastAsiaTheme="minorEastAsia"/>
        </w:rPr>
        <w:t xml:space="preserve">  peuvent aussi être calculés grâce à la formule suivante : </w:t>
      </w:r>
    </w:p>
    <w:p w:rsidR="005F39F1" w:rsidRPr="00490C0E" w:rsidRDefault="005F39F1" w:rsidP="001B5000">
      <w:pPr>
        <w:rPr>
          <w:rFonts w:eastAsiaTheme="minorEastAsia"/>
        </w:rPr>
      </w:pPr>
      <m:oMathPara>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den>
              </m:f>
            </m:e>
          </m:func>
          <m:r>
            <w:rPr>
              <w:rFonts w:ascii="Cambria Math" w:eastAsiaTheme="minorEastAsia" w:hAnsi="Cambria Math"/>
            </w:rPr>
            <m:t>, c=</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,s=</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p w:rsidR="00624363" w:rsidRDefault="00490C0E" w:rsidP="001B5000">
      <w:pPr>
        <w:rPr>
          <w:rFonts w:eastAsiaTheme="minorEastAsia"/>
        </w:rPr>
      </w:pPr>
      <w:r>
        <w:rPr>
          <w:rFonts w:eastAsiaTheme="minorEastAsia"/>
        </w:rPr>
        <w:t xml:space="preserve">A noter que pour conserver l’orthogonalité de la transformation nous avons la relation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=1</m:t>
        </m:r>
      </m:oMath>
    </w:p>
    <w:p w:rsidR="00624363" w:rsidRDefault="00624363" w:rsidP="001B5000">
      <w:pPr>
        <w:rPr>
          <w:rFonts w:eastAsiaTheme="minorEastAsia"/>
        </w:rPr>
      </w:pPr>
      <w:r>
        <w:rPr>
          <w:rFonts w:eastAsiaTheme="minorEastAsia"/>
        </w:rPr>
        <w:t xml:space="preserve">Pour une matrice de dimension </w:t>
      </w:r>
      <m:oMath>
        <m:r>
          <w:rPr>
            <w:rFonts w:ascii="Cambria Math" w:eastAsiaTheme="minorEastAsia" w:hAnsi="Cambria Math"/>
          </w:rPr>
          <m:t>n</m:t>
        </m:r>
      </m:oMath>
      <w:r>
        <w:rPr>
          <w:rFonts w:eastAsiaTheme="minorEastAsia"/>
        </w:rPr>
        <w:t xml:space="preserve">, il y a </w:t>
      </w:r>
      <m:oMath>
        <m:r>
          <w:rPr>
            <w:rFonts w:ascii="Cambria Math" w:eastAsiaTheme="minorEastAsia" w:hAnsi="Cambria Math"/>
          </w:rPr>
          <m:t>n(n-1)/2</m:t>
        </m:r>
      </m:oMath>
      <w:r>
        <w:rPr>
          <w:rFonts w:eastAsiaTheme="minorEastAsia"/>
        </w:rPr>
        <w:t xml:space="preserve"> rotations de Givens possibles, car c’est le nombre de paires uniques qu’il est possible de former à partir de </w:t>
      </w:r>
      <m:oMath>
        <m:r>
          <w:rPr>
            <w:rFonts w:ascii="Cambria Math" w:eastAsiaTheme="minorEastAsia" w:hAnsi="Cambria Math"/>
          </w:rPr>
          <m:t xml:space="preserve">n </m:t>
        </m:r>
      </m:oMath>
      <w:r>
        <w:rPr>
          <w:rFonts w:eastAsiaTheme="minorEastAsia"/>
        </w:rPr>
        <w:t>dimensions.</w:t>
      </w:r>
    </w:p>
    <w:p w:rsidR="00624363" w:rsidRDefault="00624363" w:rsidP="001B5000">
      <w:pPr>
        <w:rPr>
          <w:rFonts w:eastAsiaTheme="minorEastAsia"/>
        </w:rPr>
      </w:pPr>
    </w:p>
    <w:p w:rsidR="00624363" w:rsidRDefault="00624363" w:rsidP="001B5000">
      <w:pPr>
        <w:rPr>
          <w:rFonts w:eastAsiaTheme="minorEastAsia"/>
        </w:rPr>
      </w:pPr>
    </w:p>
    <w:p w:rsidR="00624363" w:rsidRDefault="00624363" w:rsidP="001B5000">
      <w:pPr>
        <w:rPr>
          <w:rFonts w:eastAsiaTheme="minorEastAsia"/>
        </w:rPr>
      </w:pPr>
    </w:p>
    <w:p w:rsidR="00624363" w:rsidRDefault="00624363" w:rsidP="001B5000">
      <w:pPr>
        <w:rPr>
          <w:rFonts w:eastAsiaTheme="minorEastAsia"/>
        </w:rPr>
      </w:pPr>
    </w:p>
    <w:p w:rsidR="00624363" w:rsidRDefault="00624363" w:rsidP="001B5000">
      <w:pPr>
        <w:rPr>
          <w:rFonts w:eastAsiaTheme="minorEastAsia"/>
        </w:rPr>
      </w:pPr>
    </w:p>
    <w:p w:rsidR="00624363" w:rsidRDefault="00624363" w:rsidP="001B5000">
      <w:pPr>
        <w:rPr>
          <w:rFonts w:eastAsiaTheme="minorEastAsia"/>
        </w:rPr>
      </w:pPr>
    </w:p>
    <w:p w:rsidR="00624363" w:rsidRDefault="00624363" w:rsidP="00624363">
      <w:pPr>
        <w:pStyle w:val="Titre2"/>
        <w:rPr>
          <w:rFonts w:eastAsiaTheme="minorEastAsia"/>
        </w:rPr>
      </w:pPr>
      <w:r>
        <w:rPr>
          <w:rFonts w:eastAsiaTheme="minorEastAsia"/>
        </w:rPr>
        <w:lastRenderedPageBreak/>
        <w:t>Matrice de dimension 4 :</w:t>
      </w:r>
    </w:p>
    <w:p w:rsidR="00624363" w:rsidRDefault="00624363" w:rsidP="00624363">
      <w:pPr>
        <w:rPr>
          <w:rFonts w:eastAsiaTheme="minorEastAsia"/>
        </w:rPr>
      </w:pPr>
      <w:r>
        <w:t xml:space="preserve">Pour une matrice de dimension 4, le nombre de rotations de Givens possible est </w:t>
      </w:r>
      <m:oMath>
        <m:r>
          <w:rPr>
            <w:rFonts w:ascii="Cambria Math" w:hAnsi="Cambria Math"/>
          </w:rPr>
          <m:t>4</m:t>
        </m:r>
        <m:d>
          <m:dPr>
            <m:ctrlPr>
              <w:rPr>
                <w:rFonts w:ascii="Cambria Math" w:hAnsi="Cambria Math"/>
                <w:i/>
              </w:rPr>
            </m:ctrlPr>
          </m:dPr>
          <m:e>
            <m:r>
              <w:rPr>
                <w:rFonts w:ascii="Cambria Math" w:hAnsi="Cambria Math"/>
              </w:rPr>
              <m:t>4-1</m:t>
            </m:r>
          </m:e>
        </m:d>
        <m:r>
          <w:rPr>
            <w:rFonts w:ascii="Cambria Math" w:hAnsi="Cambria Math"/>
          </w:rPr>
          <m:t>/2)=6</m:t>
        </m:r>
      </m:oMath>
      <w:r>
        <w:rPr>
          <w:rFonts w:eastAsiaTheme="minorEastAsia"/>
        </w:rPr>
        <w:t xml:space="preserve"> correspondant aux rotations dans un plan bidimensionnel, tout en laissant les autres dimension inchangées. Donc pour une matrice de dimension 4, les rotations de Givens s’appliqueraient dans les plans (1,2), (1,3), (1,4), (2,3), (2,4), (3,4) où chaque paire représente les axes autour desquels la rotation a lieu.</w:t>
      </w:r>
    </w:p>
    <w:p w:rsidR="00624363" w:rsidRDefault="00624363" w:rsidP="00624363">
      <w:pPr>
        <w:pStyle w:val="Titre3"/>
        <w:rPr>
          <w:rFonts w:eastAsiaTheme="minorEastAsia"/>
        </w:rPr>
      </w:pPr>
      <w:r>
        <w:rPr>
          <w:rFonts w:eastAsiaTheme="minorEastAsia"/>
        </w:rPr>
        <w:t>Rotations dans les différents plans</w:t>
      </w:r>
    </w:p>
    <w:p w:rsidR="00624363" w:rsidRPr="00624363" w:rsidRDefault="00F12FB5" w:rsidP="0062436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(c,s)</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s</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624363" w:rsidRPr="00624363" w:rsidRDefault="00F12FB5" w:rsidP="0062436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(c,s)</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s</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c</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624363" w:rsidRDefault="00F12FB5" w:rsidP="00624363">
      <m:oMathPara>
        <m:oMath>
          <m:sSub>
            <m:sSubPr>
              <m:ctrlPr>
                <w:rPr>
                  <w:rFonts w:ascii="Cambria Math" w:hAnsi="Cambria Math"/>
                  <w:i/>
                </w:rPr>
              </m:ctrlPr>
            </m:sSubPr>
            <m:e>
              <m:r>
                <w:rPr>
                  <w:rFonts w:ascii="Cambria Math" w:hAnsi="Cambria Math"/>
                </w:rPr>
                <m:t>R</m:t>
              </m:r>
            </m:e>
            <m:sub>
              <m:r>
                <w:rPr>
                  <w:rFonts w:ascii="Cambria Math" w:hAnsi="Cambria Math"/>
                </w:rPr>
                <m:t>14</m:t>
              </m:r>
            </m:sub>
          </m:sSub>
          <m:r>
            <w:rPr>
              <w:rFonts w:ascii="Cambria Math" w:hAnsi="Cambria Math"/>
            </w:rPr>
            <m:t>(c,s)</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c</m:t>
                    </m:r>
                  </m:e>
                </m:mr>
              </m:m>
            </m:e>
          </m:d>
        </m:oMath>
      </m:oMathPara>
    </w:p>
    <w:p w:rsidR="00624363" w:rsidRDefault="00F12FB5" w:rsidP="00624363">
      <m:oMathPara>
        <m:oMath>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(c,s)</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s</m:t>
                    </m:r>
                    <m:ctrlPr>
                      <w:rPr>
                        <w:rFonts w:ascii="Cambria Math" w:eastAsia="Cambria Math" w:hAnsi="Cambria Math" w:cs="Cambria Math"/>
                        <w:i/>
                      </w:rPr>
                    </m:ctrlPr>
                  </m:e>
                  <m:e>
                    <m:r>
                      <w:rPr>
                        <w:rFonts w:ascii="Cambria Math" w:eastAsia="Cambria Math" w:hAnsi="Cambria Math" w:cs="Cambria Math"/>
                      </w:rPr>
                      <m:t>c</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624363" w:rsidRDefault="00F12FB5" w:rsidP="00624363">
      <m:oMathPara>
        <m:oMath>
          <m:sSub>
            <m:sSubPr>
              <m:ctrlPr>
                <w:rPr>
                  <w:rFonts w:ascii="Cambria Math" w:hAnsi="Cambria Math"/>
                  <w:i/>
                </w:rPr>
              </m:ctrlPr>
            </m:sSubPr>
            <m:e>
              <m:r>
                <w:rPr>
                  <w:rFonts w:ascii="Cambria Math" w:hAnsi="Cambria Math"/>
                </w:rPr>
                <m:t>R</m:t>
              </m:r>
            </m:e>
            <m:sub>
              <m:r>
                <w:rPr>
                  <w:rFonts w:ascii="Cambria Math" w:hAnsi="Cambria Math"/>
                </w:rPr>
                <m:t>24</m:t>
              </m:r>
            </m:sub>
          </m:sSub>
          <m:r>
            <w:rPr>
              <w:rFonts w:ascii="Cambria Math" w:hAnsi="Cambria Math"/>
            </w:rPr>
            <m:t>(θ)</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s</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c</m:t>
                    </m:r>
                  </m:e>
                </m:mr>
              </m:m>
            </m:e>
          </m:d>
        </m:oMath>
      </m:oMathPara>
    </w:p>
    <w:p w:rsidR="00624363" w:rsidRPr="00624363" w:rsidRDefault="00F12FB5" w:rsidP="00624363">
      <m:oMathPara>
        <m:oMath>
          <m:sSub>
            <m:sSubPr>
              <m:ctrlPr>
                <w:rPr>
                  <w:rFonts w:ascii="Cambria Math" w:hAnsi="Cambria Math"/>
                  <w:i/>
                </w:rPr>
              </m:ctrlPr>
            </m:sSubPr>
            <m:e>
              <m:r>
                <w:rPr>
                  <w:rFonts w:ascii="Cambria Math" w:hAnsi="Cambria Math"/>
                </w:rPr>
                <m:t>R</m:t>
              </m:r>
            </m:e>
            <m:sub>
              <m:r>
                <w:rPr>
                  <w:rFonts w:ascii="Cambria Math" w:hAnsi="Cambria Math"/>
                </w:rPr>
                <m:t>34</m:t>
              </m:r>
            </m:sub>
          </m:sSub>
          <m:r>
            <w:rPr>
              <w:rFonts w:ascii="Cambria Math" w:hAnsi="Cambria Math"/>
            </w:rPr>
            <m:t>(θ)</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c</m:t>
                    </m:r>
                  </m:e>
                  <m:e>
                    <m:r>
                      <w:rPr>
                        <w:rFonts w:ascii="Cambria Math" w:hAnsi="Cambria Math"/>
                      </w:rPr>
                      <m:t>-s</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r>
                      <w:rPr>
                        <w:rFonts w:ascii="Cambria Math" w:eastAsia="Cambria Math" w:hAnsi="Cambria Math" w:cs="Cambria Math"/>
                      </w:rPr>
                      <m:t>c</m:t>
                    </m:r>
                  </m:e>
                </m:mr>
              </m:m>
            </m:e>
          </m:d>
        </m:oMath>
      </m:oMathPara>
    </w:p>
    <w:p w:rsidR="00624363" w:rsidRPr="00624363" w:rsidRDefault="00E069D3" w:rsidP="00624363">
      <w:r>
        <w:t xml:space="preserve">Pour choisir la rotation de Givens appropriée en fonction de l’élément à annuler, nous devons considérer l’emplacement de cet élément dans la matrice. </w:t>
      </w:r>
      <w:r w:rsidR="00744465">
        <w:br/>
        <w:t xml:space="preserve">Si l’on souhaite annuler l’élément </w:t>
      </w:r>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oMath>
      <w:r w:rsidR="00744465">
        <w:rPr>
          <w:rFonts w:eastAsiaTheme="minorEastAsia"/>
        </w:rPr>
        <w:t xml:space="preserve">nous prendrons la rotation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oMath>
      <w:r w:rsidR="00744465">
        <w:rPr>
          <w:rFonts w:eastAsiaTheme="minorEastAsia"/>
        </w:rPr>
        <w:t xml:space="preserve">, pour supprimer l’élément </w:t>
      </w:r>
      <m:oMath>
        <m:sSub>
          <m:sSubPr>
            <m:ctrlPr>
              <w:rPr>
                <w:rFonts w:ascii="Cambria Math" w:hAnsi="Cambria Math"/>
                <w:i/>
              </w:rPr>
            </m:ctrlPr>
          </m:sSubPr>
          <m:e>
            <m:r>
              <w:rPr>
                <w:rFonts w:ascii="Cambria Math" w:hAnsi="Cambria Math"/>
              </w:rPr>
              <m:t>a</m:t>
            </m:r>
          </m:e>
          <m:sub>
            <m:r>
              <w:rPr>
                <w:rFonts w:ascii="Cambria Math" w:hAnsi="Cambria Math"/>
              </w:rPr>
              <m:t>41</m:t>
            </m:r>
          </m:sub>
        </m:sSub>
      </m:oMath>
      <w:r w:rsidR="00744465">
        <w:rPr>
          <w:rFonts w:eastAsiaTheme="minorEastAsia"/>
        </w:rPr>
        <w:t xml:space="preserve"> nous prendrons l’élément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14</m:t>
            </m:r>
          </m:sub>
        </m:sSub>
      </m:oMath>
      <w:r w:rsidR="00744465">
        <w:rPr>
          <w:rFonts w:eastAsiaTheme="minorEastAsia"/>
        </w:rPr>
        <w:t>, etc.</w:t>
      </w:r>
    </w:p>
    <w:p w:rsidR="00624363" w:rsidRDefault="00624363" w:rsidP="00624363"/>
    <w:p w:rsidR="00E25A01" w:rsidRDefault="00E25A01" w:rsidP="00624363"/>
    <w:p w:rsidR="00E25A01" w:rsidRDefault="00E25A01" w:rsidP="00624363"/>
    <w:p w:rsidR="00E25A01" w:rsidRPr="00624363" w:rsidRDefault="00E25A01" w:rsidP="00624363"/>
    <w:p w:rsidR="00B16275" w:rsidRDefault="00B16275" w:rsidP="00B16275"/>
    <w:p w:rsidR="00E069D3" w:rsidRDefault="00E069D3" w:rsidP="00B16275"/>
    <w:p w:rsidR="006775F1" w:rsidRDefault="006775F1" w:rsidP="006775F1">
      <w:pPr>
        <w:pStyle w:val="Titre1"/>
      </w:pPr>
      <w:r>
        <w:lastRenderedPageBreak/>
        <w:t>Exemple</w:t>
      </w:r>
    </w:p>
    <w:p w:rsidR="00E25A01" w:rsidRDefault="006775F1" w:rsidP="006775F1">
      <w:pPr>
        <w:rPr>
          <w:rFonts w:eastAsiaTheme="minorEastAsia"/>
        </w:rPr>
      </w:pPr>
      <w:r>
        <w:t xml:space="preserve">Supposons une matrice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mr>
            </m:m>
          </m:e>
        </m:d>
      </m:oMath>
      <w:r w:rsidR="005F39F1">
        <w:rPr>
          <w:rFonts w:eastAsiaTheme="minorEastAsia"/>
        </w:rPr>
        <w:t xml:space="preserve"> que nous voulons rendre tridiagonale, nous devons donc supprimer les éléments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r>
          <w:rPr>
            <w:rFonts w:ascii="Cambria Math" w:eastAsiaTheme="minorEastAsia" w:hAnsi="Cambria Math"/>
          </w:rPr>
          <m:t xml:space="preserve"> </m:t>
        </m:r>
      </m:oMath>
      <w:r w:rsidR="005F39F1">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31</m:t>
            </m:r>
          </m:sub>
        </m:sSub>
      </m:oMath>
      <w:r w:rsidR="005F39F1">
        <w:rPr>
          <w:rFonts w:eastAsiaTheme="minorEastAsia"/>
        </w:rPr>
        <w:t xml:space="preserve">. </w:t>
      </w:r>
    </w:p>
    <w:p w:rsidR="005F39F1" w:rsidRDefault="005F39F1" w:rsidP="006775F1">
      <w:pPr>
        <w:rPr>
          <w:rFonts w:eastAsiaTheme="minorEastAsia"/>
        </w:rPr>
      </w:pPr>
      <w:r>
        <w:rPr>
          <w:rFonts w:eastAsiaTheme="minorEastAsia"/>
        </w:rPr>
        <w:t xml:space="preserve">Nous prendre l’élément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oMath>
      <w:r>
        <w:rPr>
          <w:rFonts w:eastAsiaTheme="minorEastAsia"/>
        </w:rPr>
        <w:t xml:space="preserve"> comme étant le KeyElement (élément à annuler) 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oMath>
      <w:r>
        <w:rPr>
          <w:rFonts w:eastAsiaTheme="minorEastAsia"/>
        </w:rPr>
        <w:t xml:space="preserve"> le PivotElement (l’élément qui nous permettra de faire la rotation).</w:t>
      </w:r>
    </w:p>
    <w:p w:rsidR="005F39F1" w:rsidRDefault="005F39F1" w:rsidP="006775F1">
      <w:pPr>
        <w:rPr>
          <w:rFonts w:eastAsiaTheme="minorEastAsia"/>
        </w:rPr>
      </w:pPr>
      <w:r>
        <w:rPr>
          <w:rFonts w:eastAsiaTheme="minorEastAsia"/>
        </w:rPr>
        <w:t xml:space="preserve">Nous pouvons calculer </w:t>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den>
            </m:f>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e>
        </m:func>
        <m:r>
          <w:rPr>
            <w:rFonts w:ascii="Cambria Math" w:eastAsiaTheme="minorEastAsia" w:hAnsi="Cambria Math"/>
          </w:rPr>
          <m:t>=1.1071</m:t>
        </m:r>
      </m:oMath>
      <w:r>
        <w:rPr>
          <w:rFonts w:eastAsiaTheme="minorEastAsia"/>
        </w:rPr>
        <w:t xml:space="preserve">, et donc </w:t>
      </w:r>
      <m:oMath>
        <m:r>
          <w:rPr>
            <w:rFonts w:ascii="Cambria Math" w:eastAsiaTheme="minorEastAsia" w:hAnsi="Cambria Math"/>
          </w:rPr>
          <m:t>s=</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r>
                  <w:rPr>
                    <w:rFonts w:ascii="Cambria Math" w:eastAsiaTheme="minorEastAsia" w:hAnsi="Cambria Math"/>
                  </w:rPr>
                  <m:t>θ</m:t>
                </m:r>
                <m:ctrlPr>
                  <w:rPr>
                    <w:rFonts w:ascii="Cambria Math" w:eastAsiaTheme="minorEastAsia" w:hAnsi="Cambria Math"/>
                    <w:i/>
                  </w:rPr>
                </m:ctrlPr>
              </m:e>
            </m:d>
          </m:e>
        </m:func>
        <m:r>
          <w:rPr>
            <w:rFonts w:ascii="Cambria Math" w:eastAsiaTheme="minorEastAsia" w:hAnsi="Cambria Math"/>
          </w:rPr>
          <m:t>=0.8944</m:t>
        </m:r>
      </m:oMath>
      <w:r>
        <w:rPr>
          <w:rFonts w:eastAsiaTheme="minorEastAsia"/>
        </w:rPr>
        <w:t xml:space="preserve">  et </w:t>
      </w:r>
      <m:oMath>
        <m:r>
          <w:rPr>
            <w:rFonts w:ascii="Cambria Math" w:eastAsiaTheme="minorEastAsia" w:hAnsi="Cambria Math"/>
          </w:rPr>
          <m:t>c=</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=0.4472</m:t>
        </m:r>
      </m:oMath>
      <w:r>
        <w:rPr>
          <w:rFonts w:eastAsiaTheme="minorEastAsia"/>
        </w:rPr>
        <w:t xml:space="preserve"> </w:t>
      </w:r>
    </w:p>
    <w:p w:rsidR="005F39F1" w:rsidRDefault="005F39F1" w:rsidP="006775F1">
      <w:pPr>
        <w:rPr>
          <w:rFonts w:eastAsiaTheme="minorEastAsia"/>
        </w:rPr>
      </w:pPr>
      <w:r>
        <w:rPr>
          <w:rFonts w:eastAsiaTheme="minorEastAsia"/>
        </w:rPr>
        <w:t xml:space="preserve">Il est maintenant possible de construire la matrice de rotation suivante : </w:t>
      </w:r>
    </w:p>
    <w:p w:rsidR="005F39F1" w:rsidRPr="00D51D37" w:rsidRDefault="005F39F1" w:rsidP="006775F1">
      <w:pPr>
        <w:rPr>
          <w:rFonts w:eastAsiaTheme="minorEastAsia"/>
        </w:rPr>
      </w:pPr>
      <m:oMathPara>
        <m:oMath>
          <m:r>
            <w:rPr>
              <w:rFonts w:ascii="Cambria Math" w:hAnsi="Cambria Math"/>
            </w:rPr>
            <m:t>G=</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0.4472</m:t>
                    </m:r>
                    <m:ctrlPr>
                      <w:rPr>
                        <w:rFonts w:ascii="Cambria Math" w:eastAsia="Cambria Math" w:hAnsi="Cambria Math" w:cs="Cambria Math"/>
                        <w:i/>
                      </w:rPr>
                    </m:ctrlPr>
                  </m:e>
                  <m:e>
                    <m:r>
                      <w:rPr>
                        <w:rFonts w:ascii="Cambria Math" w:eastAsia="Cambria Math" w:hAnsi="Cambria Math" w:cs="Cambria Math"/>
                      </w:rPr>
                      <m:t>-0.8944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0.8944</m:t>
                    </m:r>
                    <m:ctrlPr>
                      <w:rPr>
                        <w:rFonts w:ascii="Cambria Math" w:eastAsia="Cambria Math" w:hAnsi="Cambria Math" w:cs="Cambria Math"/>
                        <w:i/>
                      </w:rPr>
                    </m:ctrlPr>
                  </m:e>
                  <m:e>
                    <m:r>
                      <w:rPr>
                        <w:rFonts w:ascii="Cambria Math" w:eastAsia="Cambria Math" w:hAnsi="Cambria Math" w:cs="Cambria Math"/>
                      </w:rPr>
                      <m:t>0.4472</m:t>
                    </m:r>
                  </m:e>
                </m:mr>
              </m:m>
            </m:e>
          </m:d>
        </m:oMath>
      </m:oMathPara>
    </w:p>
    <w:p w:rsidR="00D51D37" w:rsidRPr="00F00B50" w:rsidRDefault="00D51D37" w:rsidP="006775F1">
      <w:pPr>
        <w:rPr>
          <w:rFonts w:eastAsiaTheme="minorEastAsia"/>
          <w:b/>
          <w:color w:val="FF0000"/>
        </w:rPr>
      </w:pPr>
      <w:r>
        <w:rPr>
          <w:rFonts w:eastAsiaTheme="minorEastAsia"/>
        </w:rPr>
        <w:t xml:space="preserve">Pour maintenir l’égalité, nous allons réécrire la matrice </w:t>
      </w:r>
      <m:oMath>
        <m:r>
          <w:rPr>
            <w:rFonts w:ascii="Cambria Math" w:eastAsiaTheme="minorEastAsia" w:hAnsi="Cambria Math"/>
          </w:rPr>
          <m:t>A</m:t>
        </m:r>
      </m:oMath>
      <w:r>
        <w:rPr>
          <w:rFonts w:eastAsiaTheme="minorEastAsia"/>
        </w:rPr>
        <w:t xml:space="preserve"> sous la forme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AG</m:t>
        </m:r>
      </m:oMath>
      <w:r>
        <w:rPr>
          <w:rFonts w:eastAsiaTheme="minorEastAsia"/>
        </w:rPr>
        <w:t xml:space="preserve"> </w:t>
      </w:r>
    </w:p>
    <w:p w:rsidR="00D51D37" w:rsidRDefault="00D51D37" w:rsidP="006775F1">
      <w:pPr>
        <w:rPr>
          <w:rFonts w:eastAsiaTheme="minorEastAsia"/>
        </w:rPr>
      </w:pPr>
      <w:r>
        <w:rPr>
          <w:rFonts w:eastAsiaTheme="minorEastAsia"/>
        </w:rPr>
        <w:t xml:space="preserve">Le résultat est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0.8944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0.8944</m:t>
                  </m:r>
                  <m:ctrlPr>
                    <w:rPr>
                      <w:rFonts w:ascii="Cambria Math" w:eastAsia="Cambria Math" w:hAnsi="Cambria Math" w:cs="Cambria Math"/>
                      <w:i/>
                    </w:rPr>
                  </m:ctrlPr>
                </m:e>
                <m:e>
                  <m:r>
                    <w:rPr>
                      <w:rFonts w:ascii="Cambria Math" w:eastAsia="Cambria Math" w:hAnsi="Cambria Math" w:cs="Cambria Math"/>
                    </w:rPr>
                    <m:t>2.1667</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-1.2</m:t>
                  </m:r>
                  <m:ctrlPr>
                    <w:rPr>
                      <w:rFonts w:ascii="Cambria Math" w:eastAsia="Cambria Math" w:hAnsi="Cambria Math" w:cs="Cambria Math"/>
                      <w:i/>
                    </w:rPr>
                  </m:ctrlPr>
                </m:e>
                <m:e>
                  <m:r>
                    <w:rPr>
                      <w:rFonts w:ascii="Cambria Math" w:eastAsia="Cambria Math" w:hAnsi="Cambria Math" w:cs="Cambria Math"/>
                    </w:rPr>
                    <m:t>-0.6</m:t>
                  </m:r>
                </m:e>
              </m:mr>
            </m:m>
          </m:e>
        </m:d>
      </m:oMath>
    </w:p>
    <w:p w:rsidR="00C72AF6" w:rsidRPr="00127F64" w:rsidRDefault="00D51D37" w:rsidP="006775F1">
      <w:r>
        <w:t xml:space="preserve">Un code en C a été écrit qui traite de cet exemple, il se trouve à l’adresse suivante </w:t>
      </w:r>
      <w:r w:rsidRPr="00D51D37">
        <w:t>V:\PG5\Affaires\ALVEO\ALVEOU280\code\eigenproblem\symmetric_matrix\givens\example</w:t>
      </w:r>
      <w:bookmarkStart w:id="0" w:name="_GoBack"/>
      <w:bookmarkEnd w:id="0"/>
    </w:p>
    <w:sectPr w:rsidR="00C72AF6" w:rsidRPr="00127F6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FB5" w:rsidRDefault="00F12FB5" w:rsidP="00083BD7">
      <w:pPr>
        <w:spacing w:after="0" w:line="240" w:lineRule="auto"/>
      </w:pPr>
      <w:r>
        <w:separator/>
      </w:r>
    </w:p>
  </w:endnote>
  <w:endnote w:type="continuationSeparator" w:id="0">
    <w:p w:rsidR="00F12FB5" w:rsidRDefault="00F12FB5" w:rsidP="00083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BD7" w:rsidRDefault="00083BD7">
    <w:pPr>
      <w:pStyle w:val="Pieddepage"/>
    </w:pPr>
    <w:r>
      <w:rPr>
        <w:noProof/>
        <w:lang w:eastAsia="fr-FR"/>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1a004b3fbe51bcaf9995ba8e" descr="{&quot;HashCode&quot;:-3631117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83BD7" w:rsidRPr="00083BD7" w:rsidRDefault="00083BD7" w:rsidP="00083BD7">
                          <w:pPr>
                            <w:spacing w:after="0"/>
                            <w:jc w:val="center"/>
                            <w:rPr>
                              <w:rFonts w:ascii="Calibri" w:hAnsi="Calibri" w:cs="Calibri"/>
                              <w:color w:val="008000"/>
                              <w:sz w:val="20"/>
                            </w:rPr>
                          </w:pPr>
                          <w:r w:rsidRPr="00083BD7">
                            <w:rPr>
                              <w:rFonts w:ascii="Calibri" w:hAnsi="Calibri" w:cs="Calibri"/>
                              <w:color w:val="008000"/>
                              <w:sz w:val="20"/>
                            </w:rPr>
                            <w:t>{THALES GROUP LIMITED DISTRIBUTION}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a004b3fbe51bcaf9995ba8e" o:spid="_x0000_s1027" type="#_x0000_t202" alt="{&quot;HashCode&quot;:-36311177,&quot;Height&quot;:841.0,&quot;Width&quot;:595.0,&quot;Placement&quot;:&quot;Footer&quot;,&quot;Index&quot;:&quot;Primary&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" o:allowincell="f" filled="f" stroked="f" strokeweight=".5pt">
              <v:textbox inset=",0,,0">
                <w:txbxContent>
                  <w:p w:rsidR="00083BD7" w:rsidRPr="00083BD7" w:rsidRDefault="00083BD7" w:rsidP="00083BD7">
                    <w:pPr>
                      <w:spacing w:after="0"/>
                      <w:jc w:val="center"/>
                      <w:rPr>
                        <w:rFonts w:ascii="Calibri" w:hAnsi="Calibri" w:cs="Calibri"/>
                        <w:color w:val="008000"/>
                        <w:sz w:val="20"/>
                      </w:rPr>
                    </w:pPr>
                    <w:r w:rsidRPr="00083BD7">
                      <w:rPr>
                        <w:rFonts w:ascii="Calibri" w:hAnsi="Calibri" w:cs="Calibri"/>
                        <w:color w:val="008000"/>
                        <w:sz w:val="20"/>
                      </w:rPr>
                      <w:t>{THALES GROUP LIMITED DISTRIBUTION}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FB5" w:rsidRDefault="00F12FB5" w:rsidP="00083BD7">
      <w:pPr>
        <w:spacing w:after="0" w:line="240" w:lineRule="auto"/>
      </w:pPr>
      <w:r>
        <w:separator/>
      </w:r>
    </w:p>
  </w:footnote>
  <w:footnote w:type="continuationSeparator" w:id="0">
    <w:p w:rsidR="00F12FB5" w:rsidRDefault="00F12FB5" w:rsidP="00083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BD7" w:rsidRDefault="00083BD7">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1" name="MSIPCM595a4fea98e6ac4ac977c830" descr="{&quot;HashCode&quot;:-160725156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83BD7" w:rsidRPr="00083BD7" w:rsidRDefault="00083BD7" w:rsidP="00083BD7">
                          <w:pPr>
                            <w:spacing w:after="0"/>
                            <w:rPr>
                              <w:rFonts w:ascii="Calibri" w:hAnsi="Calibri" w:cs="Calibri"/>
                              <w:color w:val="008000"/>
                              <w:sz w:val="20"/>
                            </w:rPr>
                          </w:pPr>
                          <w:r w:rsidRPr="00083BD7">
                            <w:rPr>
                              <w:rFonts w:ascii="Calibri" w:hAnsi="Calibri" w:cs="Calibri"/>
                              <w:color w:val="008000"/>
                              <w:sz w:val="20"/>
                            </w:rPr>
                            <w:t xml:space="preserve"> </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95a4fea98e6ac4ac977c830" o:spid="_x0000_s1026" type="#_x0000_t202" alt="{&quot;HashCode&quot;:-1607251564,&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" o:allowincell="f" filled="f" stroked="f" strokeweight=".5pt">
              <v:textbox inset="20pt,0,,0">
                <w:txbxContent>
                  <w:p w:rsidR="00083BD7" w:rsidRPr="00083BD7" w:rsidRDefault="00083BD7" w:rsidP="00083BD7">
                    <w:pPr>
                      <w:spacing w:after="0"/>
                      <w:rPr>
                        <w:rFonts w:ascii="Calibri" w:hAnsi="Calibri" w:cs="Calibri"/>
                        <w:color w:val="008000"/>
                        <w:sz w:val="20"/>
                      </w:rPr>
                    </w:pPr>
                    <w:r w:rsidRPr="00083BD7">
                      <w:rPr>
                        <w:rFonts w:ascii="Calibri" w:hAnsi="Calibri" w:cs="Calibri"/>
                        <w:color w:val="008000"/>
                        <w:sz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C3349"/>
    <w:multiLevelType w:val="hybridMultilevel"/>
    <w:tmpl w:val="4EB4AB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A8139F"/>
    <w:multiLevelType w:val="hybridMultilevel"/>
    <w:tmpl w:val="C1BC005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CF6"/>
    <w:rsid w:val="00083BD7"/>
    <w:rsid w:val="000C4F16"/>
    <w:rsid w:val="000C6A7B"/>
    <w:rsid w:val="000F1A87"/>
    <w:rsid w:val="00121936"/>
    <w:rsid w:val="00127F64"/>
    <w:rsid w:val="001A3738"/>
    <w:rsid w:val="001B5000"/>
    <w:rsid w:val="001E0CF6"/>
    <w:rsid w:val="001E5624"/>
    <w:rsid w:val="00246ECD"/>
    <w:rsid w:val="0038010D"/>
    <w:rsid w:val="003B4AEA"/>
    <w:rsid w:val="004419C6"/>
    <w:rsid w:val="00443556"/>
    <w:rsid w:val="00490C0E"/>
    <w:rsid w:val="004C7CDA"/>
    <w:rsid w:val="004E014E"/>
    <w:rsid w:val="005572F8"/>
    <w:rsid w:val="005B7C14"/>
    <w:rsid w:val="005F39F1"/>
    <w:rsid w:val="00624363"/>
    <w:rsid w:val="00626179"/>
    <w:rsid w:val="00635301"/>
    <w:rsid w:val="00673EAF"/>
    <w:rsid w:val="006775F1"/>
    <w:rsid w:val="006B7494"/>
    <w:rsid w:val="00744465"/>
    <w:rsid w:val="00776A1C"/>
    <w:rsid w:val="007938E7"/>
    <w:rsid w:val="00796651"/>
    <w:rsid w:val="007F6B0F"/>
    <w:rsid w:val="008A04FD"/>
    <w:rsid w:val="00975190"/>
    <w:rsid w:val="00A11A8A"/>
    <w:rsid w:val="00A95DDE"/>
    <w:rsid w:val="00AB28A2"/>
    <w:rsid w:val="00AD3B13"/>
    <w:rsid w:val="00B16275"/>
    <w:rsid w:val="00B97D05"/>
    <w:rsid w:val="00C61041"/>
    <w:rsid w:val="00C72AF6"/>
    <w:rsid w:val="00C95888"/>
    <w:rsid w:val="00D13DAE"/>
    <w:rsid w:val="00D37D5A"/>
    <w:rsid w:val="00D51D37"/>
    <w:rsid w:val="00DD301F"/>
    <w:rsid w:val="00E069D3"/>
    <w:rsid w:val="00E25A01"/>
    <w:rsid w:val="00E51662"/>
    <w:rsid w:val="00E631A4"/>
    <w:rsid w:val="00E730C2"/>
    <w:rsid w:val="00E740F9"/>
    <w:rsid w:val="00F00B50"/>
    <w:rsid w:val="00F12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08006"/>
  <w15:chartTrackingRefBased/>
  <w15:docId w15:val="{CB0944A1-260B-4289-A1E8-0BA7C8F3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D301F"/>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DD301F"/>
    <w:pPr>
      <w:keepNext/>
      <w:keepLines/>
      <w:spacing w:before="40" w:after="0"/>
      <w:outlineLvl w:val="1"/>
    </w:pPr>
    <w:rPr>
      <w:rFonts w:asciiTheme="majorHAnsi" w:eastAsiaTheme="majorEastAsia" w:hAnsiTheme="majorHAnsi" w:cstheme="majorBidi"/>
      <w:i/>
      <w:color w:val="2E74B5" w:themeColor="accent1" w:themeShade="BF"/>
      <w:sz w:val="26"/>
      <w:szCs w:val="26"/>
      <w:u w:val="single"/>
    </w:rPr>
  </w:style>
  <w:style w:type="paragraph" w:styleId="Titre3">
    <w:name w:val="heading 3"/>
    <w:basedOn w:val="Normal"/>
    <w:next w:val="Normal"/>
    <w:link w:val="Titre3Car"/>
    <w:uiPriority w:val="9"/>
    <w:unhideWhenUsed/>
    <w:qFormat/>
    <w:rsid w:val="00DD301F"/>
    <w:pPr>
      <w:keepNext/>
      <w:keepLines/>
      <w:spacing w:before="40" w:after="0"/>
      <w:outlineLvl w:val="2"/>
    </w:pPr>
    <w:rPr>
      <w:rFonts w:asciiTheme="majorHAnsi" w:eastAsiaTheme="majorEastAsia" w:hAnsiTheme="majorHAnsi" w:cstheme="majorBidi"/>
      <w:color w:val="1F4D78" w:themeColor="accent1" w:themeShade="7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301F"/>
    <w:rPr>
      <w:rFonts w:asciiTheme="majorHAnsi" w:eastAsiaTheme="majorEastAsia" w:hAnsiTheme="majorHAnsi" w:cstheme="majorBidi"/>
      <w:b/>
      <w:color w:val="2E74B5" w:themeColor="accent1" w:themeShade="BF"/>
      <w:sz w:val="32"/>
      <w:szCs w:val="32"/>
      <w:u w:val="single"/>
    </w:rPr>
  </w:style>
  <w:style w:type="character" w:styleId="Textedelespacerserv">
    <w:name w:val="Placeholder Text"/>
    <w:basedOn w:val="Policepardfaut"/>
    <w:uiPriority w:val="99"/>
    <w:semiHidden/>
    <w:rsid w:val="00083BD7"/>
    <w:rPr>
      <w:color w:val="808080"/>
    </w:rPr>
  </w:style>
  <w:style w:type="paragraph" w:styleId="En-tte">
    <w:name w:val="header"/>
    <w:basedOn w:val="Normal"/>
    <w:link w:val="En-tteCar"/>
    <w:uiPriority w:val="99"/>
    <w:unhideWhenUsed/>
    <w:rsid w:val="00083BD7"/>
    <w:pPr>
      <w:tabs>
        <w:tab w:val="center" w:pos="4536"/>
        <w:tab w:val="right" w:pos="9072"/>
      </w:tabs>
      <w:spacing w:after="0" w:line="240" w:lineRule="auto"/>
    </w:pPr>
  </w:style>
  <w:style w:type="character" w:customStyle="1" w:styleId="En-tteCar">
    <w:name w:val="En-tête Car"/>
    <w:basedOn w:val="Policepardfaut"/>
    <w:link w:val="En-tte"/>
    <w:uiPriority w:val="99"/>
    <w:rsid w:val="00083BD7"/>
  </w:style>
  <w:style w:type="paragraph" w:styleId="Pieddepage">
    <w:name w:val="footer"/>
    <w:basedOn w:val="Normal"/>
    <w:link w:val="PieddepageCar"/>
    <w:uiPriority w:val="99"/>
    <w:unhideWhenUsed/>
    <w:rsid w:val="00083B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3BD7"/>
  </w:style>
  <w:style w:type="character" w:customStyle="1" w:styleId="Titre2Car">
    <w:name w:val="Titre 2 Car"/>
    <w:basedOn w:val="Policepardfaut"/>
    <w:link w:val="Titre2"/>
    <w:uiPriority w:val="9"/>
    <w:rsid w:val="00DD301F"/>
    <w:rPr>
      <w:rFonts w:asciiTheme="majorHAnsi" w:eastAsiaTheme="majorEastAsia" w:hAnsiTheme="majorHAnsi" w:cstheme="majorBidi"/>
      <w:i/>
      <w:color w:val="2E74B5" w:themeColor="accent1" w:themeShade="BF"/>
      <w:sz w:val="26"/>
      <w:szCs w:val="26"/>
      <w:u w:val="single"/>
    </w:rPr>
  </w:style>
  <w:style w:type="paragraph" w:styleId="Paragraphedeliste">
    <w:name w:val="List Paragraph"/>
    <w:basedOn w:val="Normal"/>
    <w:uiPriority w:val="34"/>
    <w:qFormat/>
    <w:rsid w:val="00DD301F"/>
    <w:pPr>
      <w:ind w:left="720"/>
      <w:contextualSpacing/>
    </w:pPr>
  </w:style>
  <w:style w:type="character" w:customStyle="1" w:styleId="Titre3Car">
    <w:name w:val="Titre 3 Car"/>
    <w:basedOn w:val="Policepardfaut"/>
    <w:link w:val="Titre3"/>
    <w:uiPriority w:val="9"/>
    <w:rsid w:val="00DD301F"/>
    <w:rPr>
      <w:rFonts w:asciiTheme="majorHAnsi" w:eastAsiaTheme="majorEastAsia" w:hAnsiTheme="majorHAnsi" w:cstheme="majorBidi"/>
      <w:color w:val="1F4D78" w:themeColor="accent1" w:themeShade="7F"/>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541</Words>
  <Characters>2978</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SICOT</dc:creator>
  <cp:keywords/>
  <dc:description/>
  <cp:lastModifiedBy>Julien SICOT</cp:lastModifiedBy>
  <cp:revision>7</cp:revision>
  <dcterms:created xsi:type="dcterms:W3CDTF">2024-02-20T13:35:00Z</dcterms:created>
  <dcterms:modified xsi:type="dcterms:W3CDTF">2024-02-26T14:02:00Z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970a7-9045-4e66-851b-0f6441328e62_Enabled">
    <vt:lpwstr>true</vt:lpwstr>
  </property>
  <property fmtid="{D5CDD505-2E9C-101B-9397-08002B2CF9AE}" pid="3" name="MSIP_Label_ff3970a7-9045-4e66-851b-0f6441328e62_SetDate">
    <vt:lpwstr>2024-02-26T14:02:12Z</vt:lpwstr>
  </property>
  <property fmtid="{D5CDD505-2E9C-101B-9397-08002B2CF9AE}" pid="4" name="MSIP_Label_ff3970a7-9045-4e66-851b-0f6441328e62_Method">
    <vt:lpwstr>Privileged</vt:lpwstr>
  </property>
  <property fmtid="{D5CDD505-2E9C-101B-9397-08002B2CF9AE}" pid="5" name="MSIP_Label_ff3970a7-9045-4e66-851b-0f6441328e62_Name">
    <vt:lpwstr>THALES-CORE-02</vt:lpwstr>
  </property>
  <property fmtid="{D5CDD505-2E9C-101B-9397-08002B2CF9AE}" pid="6" name="MSIP_Label_ff3970a7-9045-4e66-851b-0f6441328e62_SiteId">
    <vt:lpwstr>6e603289-5e46-4e26-ac7c-03a85420a9a5</vt:lpwstr>
  </property>
  <property fmtid="{D5CDD505-2E9C-101B-9397-08002B2CF9AE}" pid="7" name="MSIP_Label_ff3970a7-9045-4e66-851b-0f6441328e62_ActionId">
    <vt:lpwstr>b0052291-c015-45cb-848c-5aef5bb94b78</vt:lpwstr>
  </property>
  <property fmtid="{D5CDD505-2E9C-101B-9397-08002B2CF9AE}" pid="8" name="MSIP_Label_ff3970a7-9045-4e66-851b-0f6441328e62_ContentBits">
    <vt:lpwstr>3</vt:lpwstr>
  </property>
  <property fmtid="{D5CDD505-2E9C-101B-9397-08002B2CF9AE}" pid="9" name="Thales-Sensitivity">
    <vt:lpwstr>{TGLIMDIS}</vt:lpwstr>
  </property>
</Properties>
</file>