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CF6" w:rsidRDefault="00E740F9" w:rsidP="00E740F9">
      <w:pPr>
        <w:pStyle w:val="Titre1"/>
      </w:pPr>
      <w:r>
        <w:t xml:space="preserve">Méthode de Householder </w:t>
      </w:r>
    </w:p>
    <w:p w:rsidR="00083BD7" w:rsidRDefault="00083BD7" w:rsidP="00083BD7">
      <w:pPr>
        <w:rPr>
          <w:rFonts w:eastAsiaTheme="minorEastAsia"/>
        </w:rPr>
      </w:pPr>
      <w:r>
        <w:t xml:space="preserve">Le but est de transformer une matrice symétrique </w:t>
      </w:r>
      <m:oMath>
        <m:r>
          <w:rPr>
            <w:rFonts w:ascii="Cambria Math" w:hAnsi="Cambria Math"/>
          </w:rPr>
          <m:t>A</m:t>
        </m:r>
      </m:oMath>
      <w:r>
        <w:t xml:space="preserve"> en une matrice tridiagonale </w:t>
      </w:r>
      <m:oMath>
        <m:r>
          <w:rPr>
            <w:rFonts w:ascii="Cambria Math" w:hAnsi="Cambria Math"/>
          </w:rPr>
          <m:t>T</m:t>
        </m:r>
      </m:oMath>
      <w:r>
        <w:t xml:space="preserve"> à l’aide d’une série de matrices orthogonales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de telle sorte que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AH</m:t>
        </m:r>
      </m:oMath>
      <w:r>
        <w:rPr>
          <w:rFonts w:eastAsiaTheme="minorEastAsia"/>
        </w:rPr>
        <w:t xml:space="preserve"> , où </w:t>
      </w:r>
      <m:oMath>
        <m:r>
          <w:rPr>
            <w:rFonts w:ascii="Cambria Math" w:eastAsiaTheme="minorEastAsia" w:hAnsi="Cambria Math"/>
          </w:rPr>
          <m:t>H</m:t>
        </m:r>
      </m:oMath>
      <w:r w:rsidR="00B95B7A">
        <w:rPr>
          <w:rFonts w:eastAsiaTheme="minorEastAsia"/>
        </w:rPr>
        <w:t xml:space="preserve"> </w:t>
      </w:r>
      <w:r>
        <w:rPr>
          <w:rFonts w:eastAsiaTheme="minorEastAsia"/>
        </w:rPr>
        <w:t xml:space="preserve">est le produit des matrices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w:t>
      </w:r>
    </w:p>
    <w:p w:rsidR="00083BD7" w:rsidRDefault="00083BD7" w:rsidP="00083BD7">
      <w:pPr>
        <w:rPr>
          <w:rFonts w:eastAsiaTheme="minorEastAsia"/>
        </w:rPr>
      </w:pPr>
      <w:r>
        <w:rPr>
          <w:rFonts w:eastAsiaTheme="minorEastAsia"/>
        </w:rPr>
        <w:t xml:space="preserve">Les matrices </w:t>
      </w:r>
      <m:oMath>
        <m:r>
          <w:rPr>
            <w:rFonts w:ascii="Cambria Math" w:eastAsiaTheme="minorEastAsia" w:hAnsi="Cambria Math"/>
          </w:rPr>
          <m:t>H</m:t>
        </m:r>
      </m:oMath>
      <w:r>
        <w:rPr>
          <w:rFonts w:eastAsiaTheme="minorEastAsia"/>
        </w:rPr>
        <w:t xml:space="preserve"> sont définies comme </w:t>
      </w:r>
      <m:oMath>
        <m:r>
          <w:rPr>
            <w:rFonts w:ascii="Cambria Math" w:eastAsiaTheme="minorEastAsia" w:hAnsi="Cambria Math"/>
          </w:rPr>
          <m:t>H=I-2w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Pr>
          <w:rFonts w:eastAsiaTheme="minorEastAsia"/>
        </w:rPr>
        <w:t xml:space="preserve"> où </w:t>
      </w:r>
      <m:oMath>
        <m:r>
          <w:rPr>
            <w:rFonts w:ascii="Cambria Math" w:eastAsiaTheme="minorEastAsia" w:hAnsi="Cambria Math"/>
          </w:rPr>
          <m:t>ω</m:t>
        </m:r>
      </m:oMath>
      <w:r>
        <w:rPr>
          <w:rFonts w:eastAsiaTheme="minorEastAsia"/>
        </w:rPr>
        <w:t xml:space="preserve"> est un vecteur unitaire et </w:t>
      </w:r>
      <m:oMath>
        <m:r>
          <w:rPr>
            <w:rFonts w:ascii="Cambria Math" w:eastAsiaTheme="minorEastAsia" w:hAnsi="Cambria Math"/>
          </w:rPr>
          <m:t>I</m:t>
        </m:r>
      </m:oMath>
      <w:r>
        <w:rPr>
          <w:rFonts w:eastAsiaTheme="minorEastAsia"/>
        </w:rPr>
        <w:t xml:space="preserve"> est la matrice identité. Cette matrice à la propriété d’être orthogonale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oMath>
      <w:r>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P=I</m:t>
        </m:r>
      </m:oMath>
      <w:r>
        <w:rPr>
          <w:rFonts w:eastAsiaTheme="minorEastAsia"/>
        </w:rPr>
        <w:t>)</w:t>
      </w:r>
    </w:p>
    <w:p w:rsidR="00DD301F" w:rsidRDefault="00DD301F" w:rsidP="00DD301F">
      <w:pPr>
        <w:pStyle w:val="Titre2"/>
        <w:rPr>
          <w:rFonts w:eastAsiaTheme="minorEastAsia"/>
        </w:rPr>
      </w:pPr>
      <w:r>
        <w:rPr>
          <w:rFonts w:eastAsiaTheme="minorEastAsia"/>
        </w:rPr>
        <w:t xml:space="preserve">Procédure </w:t>
      </w:r>
    </w:p>
    <w:p w:rsidR="00DD301F" w:rsidRPr="00DD301F" w:rsidRDefault="00DD301F" w:rsidP="00DD301F">
      <w:pPr>
        <w:pStyle w:val="Paragraphedeliste"/>
        <w:numPr>
          <w:ilvl w:val="0"/>
          <w:numId w:val="1"/>
        </w:numPr>
      </w:pPr>
      <w:r>
        <w:t xml:space="preserve">Pour chaque colonne de </w:t>
      </w:r>
      <m:oMath>
        <m:r>
          <w:rPr>
            <w:rFonts w:ascii="Cambria Math" w:hAnsi="Cambria Math"/>
          </w:rPr>
          <m:t>i</m:t>
        </m:r>
      </m:oMath>
      <w:r>
        <w:rPr>
          <w:rFonts w:eastAsiaTheme="minorEastAsia"/>
        </w:rPr>
        <w:t xml:space="preserve"> de </w:t>
      </w:r>
      <m:oMath>
        <m:r>
          <w:rPr>
            <w:rFonts w:ascii="Cambria Math" w:eastAsiaTheme="minorEastAsia" w:hAnsi="Cambria Math"/>
          </w:rPr>
          <m:t>A</m:t>
        </m:r>
      </m:oMath>
      <w:r>
        <w:rPr>
          <w:rFonts w:eastAsiaTheme="minorEastAsia"/>
        </w:rPr>
        <w:t xml:space="preserve">, de </w:t>
      </w:r>
      <m:oMath>
        <m:r>
          <w:rPr>
            <w:rFonts w:ascii="Cambria Math" w:eastAsiaTheme="minorEastAsia" w:hAnsi="Cambria Math"/>
          </w:rPr>
          <m:t>i=1</m:t>
        </m:r>
      </m:oMath>
      <w:r>
        <w:rPr>
          <w:rFonts w:eastAsiaTheme="minorEastAsia"/>
        </w:rPr>
        <w:t xml:space="preserve"> à </w:t>
      </w:r>
      <m:oMath>
        <m:r>
          <w:rPr>
            <w:rFonts w:ascii="Cambria Math" w:eastAsiaTheme="minorEastAsia" w:hAnsi="Cambria Math"/>
          </w:rPr>
          <m:t>n-2</m:t>
        </m:r>
      </m:oMath>
      <w:r>
        <w:rPr>
          <w:rFonts w:eastAsiaTheme="minorEastAsia"/>
        </w:rPr>
        <w:t xml:space="preserve"> (pour une matrice </w:t>
      </w:r>
      <m:oMath>
        <m:r>
          <w:rPr>
            <w:rFonts w:ascii="Cambria Math" w:eastAsiaTheme="minorEastAsia" w:hAnsi="Cambria Math"/>
          </w:rPr>
          <m:t>n×n)</m:t>
        </m:r>
      </m:oMath>
    </w:p>
    <w:p w:rsidR="00DD301F" w:rsidRPr="00DD301F" w:rsidRDefault="00DD301F" w:rsidP="00DD301F">
      <w:pPr>
        <w:pStyle w:val="Paragraphedeliste"/>
        <w:numPr>
          <w:ilvl w:val="1"/>
          <w:numId w:val="1"/>
        </w:numPr>
      </w:pPr>
      <w:r>
        <w:t xml:space="preserve">Sélectionnez un vecteur </w:t>
      </w:r>
      <m:oMath>
        <m:r>
          <w:rPr>
            <w:rFonts w:ascii="Cambria Math" w:hAnsi="Cambria Math"/>
          </w:rPr>
          <m:t>x</m:t>
        </m:r>
      </m:oMath>
      <w:r>
        <w:rPr>
          <w:rFonts w:eastAsiaTheme="minorEastAsia"/>
        </w:rPr>
        <w:t xml:space="preserve"> qui est une copie de la colonne </w:t>
      </w:r>
      <m:oMath>
        <m:r>
          <w:rPr>
            <w:rFonts w:ascii="Cambria Math" w:eastAsiaTheme="minorEastAsia" w:hAnsi="Cambria Math"/>
          </w:rPr>
          <m:t>j</m:t>
        </m:r>
      </m:oMath>
      <w:r>
        <w:rPr>
          <w:rFonts w:eastAsiaTheme="minorEastAsia"/>
        </w:rPr>
        <w:t>, à partir de l’élément</w:t>
      </w:r>
      <w:r w:rsidRPr="00DD301F">
        <w:rPr>
          <w:rFonts w:eastAsiaTheme="minorEastAsia"/>
        </w:rPr>
        <w:br/>
      </w:r>
      <m:oMath>
        <m:r>
          <w:rPr>
            <w:rFonts w:ascii="Cambria Math" w:hAnsi="Cambria Math"/>
          </w:rPr>
          <m:t>i+1</m:t>
        </m:r>
      </m:oMath>
      <w:r>
        <w:rPr>
          <w:rFonts w:eastAsiaTheme="minorEastAsia"/>
        </w:rPr>
        <w:t xml:space="preserve"> jusqu’à la fin.</w:t>
      </w:r>
      <w:r w:rsidR="00167EEC">
        <w:rPr>
          <w:rFonts w:eastAsiaTheme="minorEastAsia"/>
        </w:rPr>
        <w:t xml:space="preserve"> (afin d’annuler l’élément </w:t>
      </w:r>
      <m:oMath>
        <m:r>
          <w:rPr>
            <w:rFonts w:ascii="Cambria Math" w:eastAsiaTheme="minorEastAsia" w:hAnsi="Cambria Math"/>
          </w:rPr>
          <m:t>i+1</m:t>
        </m:r>
      </m:oMath>
      <w:r w:rsidR="00167EEC">
        <w:rPr>
          <w:rFonts w:eastAsiaTheme="minorEastAsia"/>
        </w:rPr>
        <w:t>)</w:t>
      </w:r>
    </w:p>
    <w:p w:rsidR="00DD301F" w:rsidRPr="00DD301F" w:rsidRDefault="00DD301F" w:rsidP="00DD301F">
      <w:pPr>
        <w:pStyle w:val="Paragraphedeliste"/>
        <w:numPr>
          <w:ilvl w:val="1"/>
          <w:numId w:val="1"/>
        </w:numPr>
      </w:pPr>
      <w:r>
        <w:rPr>
          <w:rFonts w:eastAsiaTheme="minorEastAsia"/>
        </w:rPr>
        <w:t xml:space="preserve">Construisez un vecteur </w:t>
      </w:r>
      <m:oMath>
        <m:r>
          <w:rPr>
            <w:rFonts w:ascii="Cambria Math" w:eastAsiaTheme="minorEastAsia" w:hAnsi="Cambria Math"/>
          </w:rPr>
          <m:t>v</m:t>
        </m:r>
      </m:oMath>
      <w:r>
        <w:rPr>
          <w:rFonts w:eastAsiaTheme="minorEastAsia"/>
        </w:rPr>
        <w:t xml:space="preserve"> qui est </w:t>
      </w:r>
      <m:oMath>
        <m:r>
          <w:rPr>
            <w:rFonts w:ascii="Cambria Math" w:eastAsiaTheme="minorEastAsia" w:hAnsi="Cambria Math"/>
          </w:rPr>
          <m:t>x</m:t>
        </m:r>
      </m:oMath>
      <w:r>
        <w:rPr>
          <w:rFonts w:eastAsiaTheme="minorEastAsia"/>
        </w:rPr>
        <w:t xml:space="preserve"> plus un multiple du vecteur unitaire dans la direction de </w:t>
      </w:r>
      <m:oMath>
        <m:r>
          <w:rPr>
            <w:rFonts w:ascii="Cambria Math" w:eastAsiaTheme="minorEastAsia" w:hAnsi="Cambria Math"/>
          </w:rPr>
          <m:t>i</m:t>
        </m:r>
      </m:oMath>
      <w:r>
        <w:rPr>
          <w:rFonts w:eastAsiaTheme="minorEastAsia"/>
        </w:rPr>
        <w:t xml:space="preserve">. Le multiple est choisi de manière à ce que la norme de </w:t>
      </w:r>
      <m:oMath>
        <m:r>
          <w:rPr>
            <w:rFonts w:ascii="Cambria Math" w:eastAsiaTheme="minorEastAsia" w:hAnsi="Cambria Math"/>
          </w:rPr>
          <m:t>v</m:t>
        </m:r>
      </m:oMath>
      <w:r>
        <w:rPr>
          <w:rFonts w:eastAsiaTheme="minorEastAsia"/>
        </w:rPr>
        <w:t xml:space="preserve"> soit égale à celle de </w:t>
      </w:r>
      <m:oMath>
        <m:r>
          <w:rPr>
            <w:rFonts w:ascii="Cambria Math" w:eastAsiaTheme="minorEastAsia" w:hAnsi="Cambria Math"/>
          </w:rPr>
          <m:t>x</m:t>
        </m:r>
      </m:oMath>
      <w:r>
        <w:rPr>
          <w:rFonts w:eastAsiaTheme="minorEastAsia"/>
        </w:rPr>
        <w:t xml:space="preserve"> ce qui simplifie </w:t>
      </w:r>
      <m:oMath>
        <m:r>
          <w:rPr>
            <w:rFonts w:ascii="Cambria Math" w:eastAsiaTheme="minorEastAsia" w:hAnsi="Cambria Math"/>
          </w:rPr>
          <m:t>v=x±</m:t>
        </m:r>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est le </w:t>
      </w:r>
      <m:oMath>
        <m:r>
          <w:rPr>
            <w:rFonts w:ascii="Cambria Math" w:eastAsiaTheme="minorEastAsia" w:hAnsi="Cambria Math"/>
          </w:rPr>
          <m:t>i</m:t>
        </m:r>
      </m:oMath>
      <w:r>
        <w:rPr>
          <w:rFonts w:eastAsiaTheme="minorEastAsia"/>
        </w:rPr>
        <w:t>-ème vecteur unitaire.</w:t>
      </w:r>
    </w:p>
    <w:p w:rsidR="00DD301F" w:rsidRPr="00DD301F" w:rsidRDefault="00DD301F" w:rsidP="00DD301F">
      <w:pPr>
        <w:pStyle w:val="Paragraphedeliste"/>
        <w:numPr>
          <w:ilvl w:val="1"/>
          <w:numId w:val="1"/>
        </w:numPr>
      </w:pPr>
      <w:r>
        <w:rPr>
          <w:rFonts w:eastAsiaTheme="minorEastAsia"/>
        </w:rPr>
        <w:t xml:space="preserve">Le vecteur </w:t>
      </w:r>
      <m:oMath>
        <m:r>
          <w:rPr>
            <w:rFonts w:ascii="Cambria Math" w:eastAsiaTheme="minorEastAsia" w:hAnsi="Cambria Math"/>
          </w:rPr>
          <m:t>w</m:t>
        </m:r>
      </m:oMath>
      <w:r>
        <w:rPr>
          <w:rFonts w:eastAsiaTheme="minorEastAsia"/>
        </w:rPr>
        <w:t xml:space="preserve"> est ensuite normalisé à partir de </w:t>
      </w:r>
      <m:oMath>
        <m:r>
          <w:rPr>
            <w:rFonts w:ascii="Cambria Math" w:eastAsiaTheme="minorEastAsia" w:hAnsi="Cambria Math"/>
          </w:rPr>
          <m:t>v</m:t>
        </m:r>
      </m:oMath>
      <w:r>
        <w:rPr>
          <w:rFonts w:eastAsiaTheme="minorEastAsia"/>
        </w:rPr>
        <w:t xml:space="preserve">, </w:t>
      </w:r>
      <m:oMath>
        <m:r>
          <w:rPr>
            <w:rFonts w:ascii="Cambria Math" w:eastAsiaTheme="minorEastAsia" w:hAnsi="Cambria Math"/>
          </w:rPr>
          <m:t>w=v/</m:t>
        </m:r>
        <m:d>
          <m:dPr>
            <m:begChr m:val="‖"/>
            <m:endChr m:val="‖"/>
            <m:ctrlPr>
              <w:rPr>
                <w:rFonts w:ascii="Cambria Math" w:eastAsiaTheme="minorEastAsia" w:hAnsi="Cambria Math"/>
                <w:i/>
              </w:rPr>
            </m:ctrlPr>
          </m:dPr>
          <m:e>
            <m:r>
              <w:rPr>
                <w:rFonts w:ascii="Cambria Math" w:eastAsiaTheme="minorEastAsia" w:hAnsi="Cambria Math"/>
              </w:rPr>
              <m:t>v</m:t>
            </m:r>
          </m:e>
        </m:d>
      </m:oMath>
    </w:p>
    <w:p w:rsidR="00DD301F" w:rsidRPr="00DD301F" w:rsidRDefault="00DD301F" w:rsidP="00DD301F">
      <w:pPr>
        <w:pStyle w:val="Paragraphedeliste"/>
        <w:numPr>
          <w:ilvl w:val="1"/>
          <w:numId w:val="1"/>
        </w:numPr>
      </w:pPr>
      <w:r>
        <w:rPr>
          <w:rFonts w:eastAsiaTheme="minorEastAsia"/>
        </w:rPr>
        <w:t xml:space="preserve">La matrice de Householder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=I-2w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sidR="00167EEC">
        <w:rPr>
          <w:rFonts w:eastAsiaTheme="minorEastAsia"/>
        </w:rPr>
        <w:t xml:space="preserve"> est ensuite construit</w:t>
      </w:r>
      <w:r>
        <w:rPr>
          <w:rFonts w:eastAsiaTheme="minorEastAsia"/>
        </w:rPr>
        <w:t xml:space="preserve">e et utilisée pour transformer </w:t>
      </w:r>
      <m:oMath>
        <m:r>
          <w:rPr>
            <w:rFonts w:ascii="Cambria Math" w:eastAsiaTheme="minorEastAsia" w:hAnsi="Cambria Math"/>
          </w:rPr>
          <m:t>A</m:t>
        </m:r>
      </m:oMath>
      <w:r>
        <w:rPr>
          <w:rFonts w:eastAsiaTheme="minorEastAsia"/>
        </w:rPr>
        <w:t xml:space="preserve"> et les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précédents.</w:t>
      </w:r>
    </w:p>
    <w:p w:rsidR="00DD301F" w:rsidRPr="00DD301F" w:rsidRDefault="00DD301F" w:rsidP="00DD301F">
      <w:pPr>
        <w:pStyle w:val="Paragraphedeliste"/>
        <w:numPr>
          <w:ilvl w:val="0"/>
          <w:numId w:val="1"/>
        </w:numPr>
      </w:pPr>
      <w:r>
        <w:t>L’opération est répétée en travaillant toujours sur la sous-matrice qui exclut les lignes et colonnes déjà traitées, jusqu’à ce que toute la matrice, à l’exception des deux premières diagonales soit réduire à zéro</w:t>
      </w:r>
    </w:p>
    <w:p w:rsidR="00DD301F" w:rsidRPr="00DD301F" w:rsidRDefault="00DD301F" w:rsidP="00DD301F">
      <w:pPr>
        <w:pStyle w:val="Titre2"/>
      </w:pPr>
      <w:r>
        <w:t>Exemple</w:t>
      </w:r>
    </w:p>
    <w:p w:rsidR="00083BD7" w:rsidRDefault="00083BD7" w:rsidP="00083BD7">
      <w:r>
        <w:t xml:space="preserve">Prenons en exemple une matrice </w:t>
      </w:r>
      <m:oMath>
        <m:r>
          <w:rPr>
            <w:rFonts w:ascii="Cambria Math" w:hAnsi="Cambria Math"/>
          </w:rPr>
          <m:t>A</m:t>
        </m:r>
      </m:oMath>
      <w:r w:rsidR="00DD301F">
        <w:t xml:space="preserve"> symétrique de taille </w:t>
      </w:r>
      <m:oMath>
        <m:r>
          <w:rPr>
            <w:rFonts w:ascii="Cambria Math" w:hAnsi="Cambria Math"/>
          </w:rPr>
          <m:t>3×3</m:t>
        </m:r>
      </m:oMath>
      <w:r>
        <w:t>.</w:t>
      </w:r>
    </w:p>
    <w:p w:rsidR="00083BD7" w:rsidRPr="00083BD7" w:rsidRDefault="00083BD7" w:rsidP="00083BD7">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83BD7" w:rsidRDefault="00DD301F" w:rsidP="00DD301F">
      <w:pPr>
        <w:pStyle w:val="Titre3"/>
      </w:pPr>
      <w:r>
        <w:t xml:space="preserve">Sélection du vecteur </w:t>
      </w:r>
      <m:oMath>
        <m:r>
          <w:rPr>
            <w:rFonts w:ascii="Cambria Math" w:hAnsi="Cambria Math"/>
          </w:rPr>
          <m:t>x</m:t>
        </m:r>
      </m:oMath>
    </w:p>
    <w:p w:rsidR="00DD301F" w:rsidRDefault="00DD301F" w:rsidP="00DD301F">
      <w:pPr>
        <w:rPr>
          <w:rFonts w:eastAsiaTheme="minorEastAsia"/>
        </w:rPr>
      </w:pPr>
      <w:r>
        <w:t xml:space="preserve">Pour une matrice </w:t>
      </w:r>
      <m:oMath>
        <m:r>
          <w:rPr>
            <w:rFonts w:ascii="Cambria Math" w:hAnsi="Cambria Math"/>
          </w:rPr>
          <m:t>A</m:t>
        </m:r>
      </m:oMath>
      <w:r>
        <w:rPr>
          <w:rFonts w:eastAsiaTheme="minorEastAsia"/>
        </w:rPr>
        <w:t xml:space="preserve"> de taille </w:t>
      </w:r>
      <m:oMath>
        <m:r>
          <w:rPr>
            <w:rFonts w:ascii="Cambria Math" w:eastAsiaTheme="minorEastAsia" w:hAnsi="Cambria Math"/>
          </w:rPr>
          <m:t>4×4</m:t>
        </m:r>
      </m:oMath>
      <w:r>
        <w:rPr>
          <w:rFonts w:eastAsiaTheme="minorEastAsia"/>
        </w:rPr>
        <w:t xml:space="preserve">, le vecteur </w:t>
      </w:r>
      <m:oMath>
        <m:r>
          <w:rPr>
            <w:rFonts w:ascii="Cambria Math" w:eastAsiaTheme="minorEastAsia" w:hAnsi="Cambria Math"/>
          </w:rPr>
          <m:t>x</m:t>
        </m:r>
      </m:oMath>
      <w:r>
        <w:rPr>
          <w:rFonts w:eastAsiaTheme="minorEastAsia"/>
        </w:rPr>
        <w:t xml:space="preserve"> est</w:t>
      </w:r>
      <w:r w:rsidR="007104AC">
        <w:rPr>
          <w:rFonts w:eastAsiaTheme="minorEastAsia"/>
        </w:rPr>
        <w:t xml:space="preserve"> la partie de la première colonne de </w:t>
      </w:r>
      <m:oMath>
        <m:r>
          <w:rPr>
            <w:rFonts w:ascii="Cambria Math" w:eastAsiaTheme="minorEastAsia" w:hAnsi="Cambria Math"/>
          </w:rPr>
          <m:t>A</m:t>
        </m:r>
      </m:oMath>
      <w:r>
        <w:rPr>
          <w:rFonts w:eastAsiaTheme="minorEastAsia"/>
        </w:rPr>
        <w:t> </w:t>
      </w:r>
      <w:r w:rsidR="007104AC">
        <w:rPr>
          <w:rFonts w:eastAsiaTheme="minorEastAsia"/>
        </w:rPr>
        <w:t xml:space="preserve"> que nous voulons zéroter c’est-à-dire </w:t>
      </w:r>
      <w:r>
        <w:rPr>
          <w:rFonts w:eastAsiaTheme="minorEastAsia"/>
        </w:rPr>
        <w:t xml:space="preserve">: </w:t>
      </w:r>
    </w:p>
    <w:p w:rsidR="00DD301F" w:rsidRPr="007104AC" w:rsidRDefault="00DD301F" w:rsidP="00DD301F">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mr>
                <m:mr>
                  <m:e>
                    <m:r>
                      <w:rPr>
                        <w:rFonts w:ascii="Cambria Math" w:hAnsi="Cambria Math"/>
                      </w:rPr>
                      <m:t>2</m:t>
                    </m:r>
                  </m:e>
                </m:mr>
              </m:m>
            </m:e>
          </m:d>
        </m:oMath>
      </m:oMathPara>
    </w:p>
    <w:p w:rsidR="007104AC" w:rsidRPr="00E40839" w:rsidRDefault="007104AC" w:rsidP="00DD301F">
      <w:pPr>
        <w:rPr>
          <w:rFonts w:eastAsiaTheme="minorEastAsia" w:cstheme="minorHAnsi"/>
        </w:rPr>
      </w:pPr>
      <w:r>
        <w:rPr>
          <w:rFonts w:eastAsiaTheme="minorEastAsia"/>
        </w:rPr>
        <w:t xml:space="preserve">Nous voulons que </w:t>
      </w:r>
      <m:oMath>
        <m:r>
          <w:rPr>
            <w:rFonts w:ascii="Cambria Math" w:eastAsiaTheme="minorEastAsia" w:hAnsi="Cambria Math"/>
          </w:rPr>
          <m:t>Hx=</m:t>
        </m:r>
        <m:r>
          <m:rPr>
            <m:sty m:val="p"/>
          </m:rPr>
          <w:rPr>
            <w:rFonts w:ascii="Cambria Math" w:hAnsi="Cambria Math" w:cs="Arial"/>
            <w:sz w:val="26"/>
            <w:szCs w:val="26"/>
          </w:rPr>
          <m:t>λ</m:t>
        </m:r>
        <m:sSub>
          <m:sSubPr>
            <m:ctrlPr>
              <w:rPr>
                <w:rFonts w:ascii="Cambria Math" w:hAnsi="Cambria Math" w:cs="Arial"/>
                <w:sz w:val="26"/>
                <w:szCs w:val="26"/>
              </w:rPr>
            </m:ctrlPr>
          </m:sSubPr>
          <m:e>
            <m:r>
              <w:rPr>
                <w:rFonts w:ascii="Cambria Math" w:hAnsi="Cambria Math" w:cs="Arial"/>
                <w:sz w:val="26"/>
                <w:szCs w:val="26"/>
              </w:rPr>
              <m:t>e</m:t>
            </m:r>
          </m:e>
          <m:sub>
            <m:r>
              <w:rPr>
                <w:rFonts w:ascii="Cambria Math" w:hAnsi="Cambria Math" w:cs="Arial"/>
                <w:sz w:val="26"/>
                <w:szCs w:val="26"/>
              </w:rPr>
              <m:t>1</m:t>
            </m:r>
          </m:sub>
        </m:sSub>
      </m:oMath>
      <w:r w:rsidR="00E40839">
        <w:rPr>
          <w:rFonts w:eastAsiaTheme="minorEastAsia"/>
          <w:sz w:val="26"/>
          <w:szCs w:val="26"/>
        </w:rPr>
        <w:t xml:space="preserve">, </w:t>
      </w:r>
      <w:r w:rsidR="00E40839" w:rsidRPr="00E40839">
        <w:rPr>
          <w:rFonts w:eastAsiaTheme="minorEastAsia"/>
        </w:rPr>
        <w:t xml:space="preserve">où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E40839" w:rsidRPr="00E40839">
        <w:rPr>
          <w:rFonts w:eastAsiaTheme="minorEastAsia"/>
        </w:rPr>
        <w:t>est le premier</w:t>
      </w:r>
      <w:r w:rsidR="00E40839">
        <w:rPr>
          <w:rFonts w:eastAsiaTheme="minorEastAsia"/>
          <w:sz w:val="26"/>
          <w:szCs w:val="26"/>
        </w:rPr>
        <w:t xml:space="preserve"> </w:t>
      </w:r>
      <w:r w:rsidR="00E40839">
        <w:rPr>
          <w:rFonts w:eastAsiaTheme="minorEastAsia"/>
        </w:rPr>
        <w:t xml:space="preserve">vecteur de base de l’espace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e>
              </m:mr>
            </m:m>
          </m:e>
        </m:d>
      </m:oMath>
    </w:p>
    <w:p w:rsidR="00DD301F" w:rsidRDefault="00DD301F" w:rsidP="00DD301F">
      <w:pPr>
        <w:pStyle w:val="Titre3"/>
        <w:rPr>
          <w:rFonts w:eastAsiaTheme="minorEastAsia"/>
        </w:rPr>
      </w:pPr>
      <w:r>
        <w:rPr>
          <w:rFonts w:eastAsiaTheme="minorEastAsia"/>
        </w:rPr>
        <w:t xml:space="preserve">Calcul de </w:t>
      </w:r>
      <m:oMath>
        <m:r>
          <w:rPr>
            <w:rFonts w:ascii="Cambria Math" w:eastAsiaTheme="minorEastAsia" w:hAnsi="Cambria Math"/>
          </w:rPr>
          <m:t>v</m:t>
        </m:r>
      </m:oMath>
    </w:p>
    <w:p w:rsidR="007D4CCD" w:rsidRDefault="00DD301F" w:rsidP="00DD301F">
      <w:pPr>
        <w:rPr>
          <w:rFonts w:eastAsiaTheme="minorEastAsia"/>
        </w:rPr>
      </w:pPr>
      <w:r>
        <w:t xml:space="preserve">Le vecteur </w:t>
      </w:r>
      <m:oMath>
        <m:r>
          <w:rPr>
            <w:rFonts w:ascii="Cambria Math" w:hAnsi="Cambria Math"/>
          </w:rPr>
          <m:t>v</m:t>
        </m:r>
      </m:oMath>
      <w:r>
        <w:rPr>
          <w:rFonts w:eastAsiaTheme="minorEastAsia"/>
        </w:rPr>
        <w:t xml:space="preserve"> est calculé en ajoutant à </w:t>
      </w:r>
      <m:oMath>
        <m:r>
          <w:rPr>
            <w:rFonts w:ascii="Cambria Math" w:eastAsiaTheme="minorEastAsia" w:hAnsi="Cambria Math"/>
          </w:rPr>
          <m:t>x</m:t>
        </m:r>
      </m:oMath>
      <w:r>
        <w:rPr>
          <w:rFonts w:eastAsiaTheme="minorEastAsia"/>
        </w:rPr>
        <w:t xml:space="preserve"> un multiple du vecteur unitaire dans la direction concernée, multiplié par la norme de </w:t>
      </w:r>
      <m:oMath>
        <m:r>
          <w:rPr>
            <w:rFonts w:ascii="Cambria Math" w:eastAsiaTheme="minorEastAsia" w:hAnsi="Cambria Math"/>
          </w:rPr>
          <m:t>x</m:t>
        </m:r>
      </m:oMath>
      <w:r>
        <w:rPr>
          <w:rFonts w:eastAsiaTheme="minorEastAsia"/>
        </w:rPr>
        <w:t xml:space="preserve">. Le but est de créer un vecteur qui, lorsqu’il sera utilisé pour construire une transformation de Householder, annulera tous éléments de </w:t>
      </w:r>
      <m:oMath>
        <m:r>
          <w:rPr>
            <w:rFonts w:ascii="Cambria Math" w:eastAsiaTheme="minorEastAsia" w:hAnsi="Cambria Math"/>
          </w:rPr>
          <m:t>x</m:t>
        </m:r>
      </m:oMath>
      <w:r>
        <w:rPr>
          <w:rFonts w:eastAsiaTheme="minorEastAsia"/>
        </w:rPr>
        <w:t xml:space="preserve">, sauf le premier. Pour éviter l’annulation numérique, le signe devant la norme de </w:t>
      </w:r>
      <m:oMath>
        <m:r>
          <w:rPr>
            <w:rFonts w:ascii="Cambria Math" w:eastAsiaTheme="minorEastAsia" w:hAnsi="Cambria Math"/>
          </w:rPr>
          <m:t>x</m:t>
        </m:r>
      </m:oMath>
      <w:r>
        <w:rPr>
          <w:rFonts w:eastAsiaTheme="minorEastAsia"/>
        </w:rPr>
        <w:t xml:space="preserve"> est choisi de manière à maximiser la magnitude du premier élément de </w:t>
      </w:r>
      <m:oMath>
        <m:r>
          <w:rPr>
            <w:rFonts w:ascii="Cambria Math" w:eastAsiaTheme="minorEastAsia" w:hAnsi="Cambria Math"/>
          </w:rPr>
          <m:t>v</m:t>
        </m:r>
      </m:oMath>
    </w:p>
    <w:p w:rsidR="000112E4" w:rsidRPr="000112E4" w:rsidRDefault="004E014E" w:rsidP="00DD301F">
      <w:pPr>
        <w:rPr>
          <w:rFonts w:eastAsiaTheme="minorEastAsia"/>
        </w:rPr>
      </w:pPr>
      <w:r>
        <w:rPr>
          <w:rFonts w:eastAsiaTheme="minorEastAsia"/>
        </w:rPr>
        <w:t xml:space="preserve">La norme de </w:t>
      </w:r>
      <m:oMath>
        <m:r>
          <w:rPr>
            <w:rFonts w:ascii="Cambria Math" w:eastAsiaTheme="minorEastAsia" w:hAnsi="Cambria Math"/>
          </w:rPr>
          <m:t>x</m:t>
        </m:r>
      </m:oMath>
      <w:r>
        <w:rPr>
          <w:rFonts w:eastAsiaTheme="minorEastAsia"/>
        </w:rPr>
        <w:t xml:space="preserve">, notée </w:t>
      </w: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est calculée comme la racine carrée de la somme des carrés de ses éléments. Pour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eastAsiaTheme="minorEastAsia" w:hAnsi="Cambria Math"/>
          </w:rPr>
          <m:t xml:space="preserve"> </m:t>
        </m:r>
      </m:oMath>
      <w:r>
        <w:rPr>
          <w:rFonts w:eastAsiaTheme="minorEastAsia"/>
        </w:rPr>
        <w:t xml:space="preserve">, cela donne </w:t>
      </w:r>
      <m:oMath>
        <m:r>
          <m:rPr>
            <m:sty m:val="p"/>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=2.2361</m:t>
        </m:r>
      </m:oMath>
    </w:p>
    <w:p w:rsidR="00DD301F" w:rsidRDefault="004E014E" w:rsidP="00DD301F">
      <w:pPr>
        <w:rPr>
          <w:rFonts w:eastAsiaTheme="minorEastAsia"/>
        </w:rPr>
      </w:pPr>
      <w:r>
        <w:rPr>
          <w:rFonts w:eastAsiaTheme="minorEastAsia"/>
        </w:rPr>
        <w:t xml:space="preserve">En choisissant le vecteur unitaire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e>
              </m:mr>
            </m:m>
          </m:e>
        </m:d>
      </m:oMath>
      <w:r>
        <w:rPr>
          <w:rFonts w:eastAsiaTheme="minorEastAsia"/>
        </w:rPr>
        <w:t xml:space="preserve">, le calcul de </w:t>
      </w:r>
      <m:oMath>
        <m:r>
          <w:rPr>
            <w:rFonts w:ascii="Cambria Math" w:eastAsiaTheme="minorEastAsia" w:hAnsi="Cambria Math"/>
          </w:rPr>
          <m:t xml:space="preserve">v </m:t>
        </m:r>
      </m:oMath>
      <w:r>
        <w:rPr>
          <w:rFonts w:eastAsiaTheme="minorEastAsia"/>
        </w:rPr>
        <w:t xml:space="preserve"> devient </w:t>
      </w:r>
    </w:p>
    <w:p w:rsidR="004E014E" w:rsidRPr="00C61041" w:rsidRDefault="004E014E" w:rsidP="004E014E">
      <w:pPr>
        <w:jc w:val="center"/>
        <w:rPr>
          <w:rFonts w:eastAsiaTheme="minorEastAsia"/>
        </w:rPr>
      </w:pPr>
      <m:oMathPara>
        <m:oMath>
          <m:r>
            <w:rPr>
              <w:rFonts w:ascii="Cambria Math" w:eastAsiaTheme="minorEastAsia" w:hAnsi="Cambria Math"/>
            </w:rPr>
            <w:lastRenderedPageBreak/>
            <m:t>v=x-</m:t>
          </m:r>
          <m:d>
            <m:dPr>
              <m:begChr m:val="‖"/>
              <m:endChr m:val="‖"/>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eastAsiaTheme="minorEastAsia" w:hAnsi="Cambria Math"/>
            </w:rPr>
            <m:t>-2.2361</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-1.2361</m:t>
                    </m:r>
                    <m:ctrlPr>
                      <w:rPr>
                        <w:rFonts w:ascii="Cambria Math" w:eastAsia="Cambria Math" w:hAnsi="Cambria Math" w:cs="Cambria Math"/>
                        <w:i/>
                      </w:rPr>
                    </m:ctrlPr>
                  </m:e>
                </m:mr>
                <m:mr>
                  <m:e>
                    <m:r>
                      <w:rPr>
                        <w:rFonts w:ascii="Cambria Math" w:eastAsia="Cambria Math" w:hAnsi="Cambria Math" w:cs="Cambria Math"/>
                      </w:rPr>
                      <m:t>2</m:t>
                    </m:r>
                  </m:e>
                </m:mr>
              </m:m>
            </m:e>
          </m:d>
        </m:oMath>
      </m:oMathPara>
    </w:p>
    <w:p w:rsidR="00C61041" w:rsidRDefault="00C61041" w:rsidP="004E014E">
      <w:pPr>
        <w:jc w:val="center"/>
        <w:rPr>
          <w:rFonts w:eastAsiaTheme="minorEastAsia"/>
        </w:rPr>
      </w:pPr>
    </w:p>
    <w:p w:rsidR="00C61041" w:rsidRDefault="00C61041" w:rsidP="00C61041">
      <w:pPr>
        <w:pStyle w:val="Titre3"/>
        <w:rPr>
          <w:rFonts w:eastAsiaTheme="minorEastAsia"/>
        </w:rPr>
      </w:pPr>
      <w:r>
        <w:rPr>
          <w:rFonts w:eastAsiaTheme="minorEastAsia"/>
        </w:rPr>
        <w:t xml:space="preserve">Normalisation de </w:t>
      </w:r>
      <m:oMath>
        <m:r>
          <w:rPr>
            <w:rFonts w:ascii="Cambria Math" w:eastAsiaTheme="minorEastAsia" w:hAnsi="Cambria Math"/>
          </w:rPr>
          <m:t>v</m:t>
        </m:r>
      </m:oMath>
      <w:r>
        <w:rPr>
          <w:rFonts w:eastAsiaTheme="minorEastAsia"/>
        </w:rPr>
        <w:t xml:space="preserve"> pour obtenir </w:t>
      </w:r>
      <m:oMath>
        <m:r>
          <w:rPr>
            <w:rFonts w:ascii="Cambria Math" w:eastAsiaTheme="minorEastAsia" w:hAnsi="Cambria Math"/>
          </w:rPr>
          <m:t>w</m:t>
        </m:r>
      </m:oMath>
    </w:p>
    <w:p w:rsidR="00C61041" w:rsidRDefault="00C61041" w:rsidP="00C61041">
      <w:pPr>
        <w:rPr>
          <w:rFonts w:eastAsiaTheme="minorEastAsia"/>
        </w:rPr>
      </w:pPr>
      <w:r>
        <w:t xml:space="preserve">Le vecteur </w:t>
      </w:r>
      <m:oMath>
        <m:r>
          <w:rPr>
            <w:rFonts w:ascii="Cambria Math" w:hAnsi="Cambria Math"/>
          </w:rPr>
          <m:t>w</m:t>
        </m:r>
      </m:oMath>
      <w:r>
        <w:rPr>
          <w:rFonts w:eastAsiaTheme="minorEastAsia"/>
        </w:rPr>
        <w:t xml:space="preserve"> est le vecteur </w:t>
      </w:r>
      <m:oMath>
        <m:r>
          <w:rPr>
            <w:rFonts w:ascii="Cambria Math" w:eastAsiaTheme="minorEastAsia" w:hAnsi="Cambria Math"/>
          </w:rPr>
          <m:t>v</m:t>
        </m:r>
      </m:oMath>
      <w:r>
        <w:rPr>
          <w:rFonts w:eastAsiaTheme="minorEastAsia"/>
        </w:rPr>
        <w:t xml:space="preserve"> normalisé, c’est-à-dire divisé par sa propre norme. Cela garantie que la matrice de Householder </w:t>
      </w:r>
      <m:oMath>
        <m:r>
          <w:rPr>
            <w:rFonts w:ascii="Cambria Math" w:eastAsiaTheme="minorEastAsia" w:hAnsi="Cambria Math"/>
          </w:rPr>
          <m:t>P=I-2w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Pr>
          <w:rFonts w:eastAsiaTheme="minorEastAsia"/>
        </w:rPr>
        <w:t xml:space="preserve">sera orthogonale et reflétera efficacement le reste de la matrice autour du plan défini par </w:t>
      </w:r>
      <m:oMath>
        <m:r>
          <w:rPr>
            <w:rFonts w:ascii="Cambria Math" w:eastAsiaTheme="minorEastAsia" w:hAnsi="Cambria Math"/>
          </w:rPr>
          <m:t>w</m:t>
        </m:r>
      </m:oMath>
      <w:r>
        <w:rPr>
          <w:rFonts w:eastAsiaTheme="minorEastAsia"/>
        </w:rPr>
        <w:t>, tout en annulant les éléments souhaités.</w:t>
      </w:r>
    </w:p>
    <w:p w:rsidR="00C61041" w:rsidRDefault="00C61041" w:rsidP="00C61041">
      <w:pPr>
        <w:rPr>
          <w:rFonts w:eastAsiaTheme="minorEastAsia"/>
        </w:rPr>
      </w:pPr>
      <w:r>
        <w:rPr>
          <w:rFonts w:eastAsiaTheme="minorEastAsia"/>
        </w:rPr>
        <w:t xml:space="preserve">La norme de </w:t>
      </w:r>
      <m:oMath>
        <m:r>
          <w:rPr>
            <w:rFonts w:ascii="Cambria Math" w:eastAsiaTheme="minorEastAsia" w:hAnsi="Cambria Math"/>
          </w:rPr>
          <m:t>v</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est calculée, et </w:t>
      </w:r>
      <m:oMath>
        <m:r>
          <w:rPr>
            <w:rFonts w:ascii="Cambria Math" w:eastAsiaTheme="minorEastAsia" w:hAnsi="Cambria Math"/>
          </w:rPr>
          <m:t>w</m:t>
        </m:r>
      </m:oMath>
      <w:r>
        <w:rPr>
          <w:rFonts w:eastAsiaTheme="minorEastAsia"/>
        </w:rPr>
        <w:t xml:space="preserve"> est obtenu par </w:t>
      </w:r>
    </w:p>
    <w:p w:rsidR="00C61041" w:rsidRPr="00C61041" w:rsidRDefault="00C61041" w:rsidP="00C61041">
      <w:pPr>
        <w:rPr>
          <w:rFonts w:eastAsiaTheme="minorEastAsia"/>
        </w:rPr>
      </w:pPr>
      <m:oMathPara>
        <m:oMath>
          <m:r>
            <w:rPr>
              <w:rFonts w:ascii="Cambria Math" w:hAnsi="Cambria Math"/>
            </w:rPr>
            <m:t>w=</m:t>
          </m:r>
          <m:f>
            <m:fPr>
              <m:ctrlPr>
                <w:rPr>
                  <w:rFonts w:ascii="Cambria Math" w:hAnsi="Cambria Math"/>
                  <w:i/>
                </w:rPr>
              </m:ctrlPr>
            </m:fPr>
            <m:num>
              <m:r>
                <w:rPr>
                  <w:rFonts w:ascii="Cambria Math" w:hAnsi="Cambria Math"/>
                </w:rPr>
                <m:t>v</m:t>
              </m:r>
            </m:num>
            <m:den>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-4.8284</m:t>
                        </m:r>
                        <m:ctrlPr>
                          <w:rPr>
                            <w:rFonts w:ascii="Cambria Math" w:eastAsia="Cambria Math" w:hAnsi="Cambria Math" w:cs="Cambria Math"/>
                            <w:i/>
                          </w:rPr>
                        </m:ctrlPr>
                      </m:e>
                    </m:mr>
                    <m:mr>
                      <m:e>
                        <m:r>
                          <w:rPr>
                            <w:rFonts w:ascii="Cambria Math" w:eastAsia="Cambria Math" w:hAnsi="Cambria Math" w:cs="Cambria Math"/>
                          </w:rPr>
                          <m:t>2</m:t>
                        </m:r>
                      </m:e>
                    </m:mr>
                  </m:m>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(-4.8284)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-0.5257</m:t>
                    </m:r>
                    <m:ctrlPr>
                      <w:rPr>
                        <w:rFonts w:ascii="Cambria Math" w:eastAsia="Cambria Math" w:hAnsi="Cambria Math" w:cs="Cambria Math"/>
                        <w:i/>
                      </w:rPr>
                    </m:ctrlPr>
                  </m:e>
                </m:mr>
                <m:mr>
                  <m:e>
                    <m:r>
                      <w:rPr>
                        <w:rFonts w:ascii="Cambria Math" w:eastAsia="Cambria Math" w:hAnsi="Cambria Math" w:cs="Cambria Math"/>
                      </w:rPr>
                      <m:t>0.8507</m:t>
                    </m:r>
                  </m:e>
                </m:mr>
              </m:m>
            </m:e>
          </m:d>
        </m:oMath>
      </m:oMathPara>
    </w:p>
    <w:p w:rsidR="00C61041" w:rsidRDefault="00C61041" w:rsidP="00C61041">
      <w:pPr>
        <w:rPr>
          <w:rFonts w:eastAsiaTheme="minorEastAsia"/>
        </w:rPr>
      </w:pPr>
      <w:r>
        <w:rPr>
          <w:rFonts w:eastAsiaTheme="minorEastAsia"/>
        </w:rPr>
        <w:t>Cette étape prépare le vecteur nécessaire pour construire la matrice de Householder, qui sera utilisé pour effectuer la transformation souhaitée sur A, en commençant le processus de réduction de forme tridiagonale.</w:t>
      </w:r>
    </w:p>
    <w:p w:rsidR="00281093" w:rsidRDefault="00281093" w:rsidP="00C61041">
      <w:pPr>
        <w:rPr>
          <w:rFonts w:eastAsiaTheme="minorEastAsia"/>
        </w:rPr>
      </w:pPr>
    </w:p>
    <w:p w:rsidR="00281093" w:rsidRDefault="00281093" w:rsidP="00281093">
      <w:pPr>
        <w:pStyle w:val="Titre3"/>
        <w:rPr>
          <w:rFonts w:eastAsiaTheme="minorEastAsia"/>
        </w:rPr>
      </w:pPr>
      <w:r>
        <w:rPr>
          <w:rFonts w:eastAsiaTheme="minorEastAsia"/>
        </w:rPr>
        <w:t>Construction de la matrice de Householder</w:t>
      </w:r>
    </w:p>
    <w:p w:rsidR="00281093" w:rsidRDefault="00281093" w:rsidP="00281093"/>
    <w:p w:rsidR="00281093" w:rsidRDefault="00281093" w:rsidP="00281093">
      <w:pPr>
        <w:rPr>
          <w:rFonts w:eastAsiaTheme="minorEastAsia"/>
        </w:rPr>
      </w:pPr>
      <w:r>
        <w:t xml:space="preserve">On a </w:t>
      </w:r>
      <m:oMath>
        <m:r>
          <w:rPr>
            <w:rFonts w:ascii="Cambria Math" w:eastAsiaTheme="minorEastAsia" w:hAnsi="Cambria Math"/>
          </w:rPr>
          <m:t>H=I-2w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sidR="00B95B7A">
        <w:rPr>
          <w:rFonts w:eastAsiaTheme="minorEastAsia"/>
        </w:rPr>
        <w:t>, après calcul nous obtenons H</w:t>
      </w:r>
      <w:r w:rsidR="00F733E3">
        <w:rPr>
          <w:rFonts w:eastAsiaTheme="minorEastAsia"/>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-0.4472</m:t>
                  </m:r>
                </m:e>
                <m:e>
                  <m:r>
                    <w:rPr>
                      <w:rFonts w:ascii="Cambria Math" w:hAnsi="Cambria Math"/>
                    </w:rPr>
                    <m:t>-0.8944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-0.8944</m:t>
                  </m:r>
                  <m:ctrlPr>
                    <w:rPr>
                      <w:rFonts w:ascii="Cambria Math" w:eastAsia="Cambria Math" w:hAnsi="Cambria Math" w:cs="Cambria Math"/>
                      <w:i/>
                    </w:rPr>
                  </m:ctrlPr>
                </m:e>
                <m:e>
                  <m:r>
                    <w:rPr>
                      <w:rFonts w:ascii="Cambria Math" w:eastAsia="Cambria Math" w:hAnsi="Cambria Math" w:cs="Cambria Math"/>
                    </w:rPr>
                    <m:t>0.4472</m:t>
                  </m:r>
                </m:e>
              </m:mr>
            </m:m>
          </m:e>
        </m:d>
      </m:oMath>
    </w:p>
    <w:p w:rsidR="00167EEC" w:rsidRDefault="00167EEC" w:rsidP="00281093">
      <w:pPr>
        <w:rPr>
          <w:rFonts w:eastAsiaTheme="minorEastAsia"/>
        </w:rPr>
      </w:pPr>
      <w:r>
        <w:rPr>
          <w:rFonts w:eastAsiaTheme="minorEastAsia"/>
        </w:rPr>
        <w:t xml:space="preserve">Afin de pouvoir réaliser l’opération, il sera nécessaire d’étendre le vecteur </w:t>
      </w:r>
      <m:oMath>
        <m:r>
          <w:rPr>
            <w:rFonts w:ascii="Cambria Math" w:eastAsiaTheme="minorEastAsia" w:hAnsi="Cambria Math"/>
          </w:rPr>
          <m:t>w</m:t>
        </m:r>
      </m:oMath>
      <w:r>
        <w:rPr>
          <w:rFonts w:eastAsiaTheme="minorEastAsia"/>
        </w:rPr>
        <w:t xml:space="preserve"> avec </w:t>
      </w:r>
      <m:oMath>
        <m:r>
          <w:rPr>
            <w:rFonts w:ascii="Cambria Math" w:eastAsiaTheme="minorEastAsia"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-0.5257</m:t>
                  </m:r>
                  <m:ctrlPr>
                    <w:rPr>
                      <w:rFonts w:ascii="Cambria Math" w:eastAsia="Cambria Math" w:hAnsi="Cambria Math" w:cs="Cambria Math"/>
                      <w:i/>
                    </w:rPr>
                  </m:ctrlPr>
                </m:e>
              </m:mr>
              <m:mr>
                <m:e>
                  <m:r>
                    <w:rPr>
                      <w:rFonts w:ascii="Cambria Math" w:eastAsia="Cambria Math" w:hAnsi="Cambria Math" w:cs="Cambria Math"/>
                    </w:rPr>
                    <m:t>0.8507</m:t>
                  </m:r>
                </m:e>
              </m:mr>
            </m:m>
          </m:e>
        </m:d>
      </m:oMath>
    </w:p>
    <w:p w:rsidR="00F733E3" w:rsidRDefault="00F733E3" w:rsidP="00281093">
      <w:pPr>
        <w:rPr>
          <w:rFonts w:eastAsiaTheme="minorEastAsia"/>
        </w:rPr>
      </w:pPr>
      <w:r>
        <w:rPr>
          <w:rFonts w:eastAsiaTheme="minorEastAsia"/>
        </w:rPr>
        <w:t xml:space="preserve">Après réalisation de l’opération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=HA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oMath>
      <w:r>
        <w:rPr>
          <w:rFonts w:eastAsiaTheme="minorEastAsia"/>
        </w:rPr>
        <w:t xml:space="preserve"> nous obtenons :</w:t>
      </w:r>
    </w:p>
    <w:p w:rsidR="00F733E3" w:rsidRPr="00281093" w:rsidRDefault="00F733E3" w:rsidP="00281093">
      <w:r>
        <w:rPr>
          <w:rFonts w:eastAsiaTheme="minorEastAsia"/>
        </w:rPr>
        <w:t>A’=</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-2.2361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-2.2361</m:t>
                  </m:r>
                </m:e>
                <m:e>
                  <m:r>
                    <w:rPr>
                      <w:rFonts w:ascii="Cambria Math" w:hAnsi="Cambria Math"/>
                    </w:rPr>
                    <m:t>0.6</m:t>
                  </m:r>
                </m:e>
                <m:e>
                  <m:r>
                    <w:rPr>
                      <w:rFonts w:ascii="Cambria Math" w:hAnsi="Cambria Math"/>
                    </w:rPr>
                    <m:t>0.2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0.2</m:t>
                  </m:r>
                  <m:ctrlPr>
                    <w:rPr>
                      <w:rFonts w:ascii="Cambria Math" w:eastAsia="Cambria Math" w:hAnsi="Cambria Math" w:cs="Cambria Math"/>
                      <w:i/>
                    </w:rPr>
                  </m:ctrlPr>
                </m:e>
                <m:e>
                  <m:r>
                    <w:rPr>
                      <w:rFonts w:ascii="Cambria Math" w:eastAsia="Cambria Math" w:hAnsi="Cambria Math" w:cs="Cambria Math"/>
                    </w:rPr>
                    <m:t>3.4</m:t>
                  </m:r>
                </m:e>
              </m:mr>
            </m:m>
          </m:e>
        </m:d>
      </m:oMath>
    </w:p>
    <w:p w:rsidR="003D2B90" w:rsidRPr="00167EEC" w:rsidRDefault="00B95B7A" w:rsidP="00083BD7">
      <w:r>
        <w:t xml:space="preserve">Un code en C a été écrit qui traite de cet exemple, il se trouve à l’adresse suivante </w:t>
      </w:r>
      <w:r w:rsidRPr="00D51D37">
        <w:t>V:\PG5\Affaires\ALVEO\ALVEOU280\code\eigenproblem\symmetric_matrix\</w:t>
      </w:r>
      <w:r>
        <w:t>householder</w:t>
      </w:r>
      <w:r w:rsidRPr="00D51D37">
        <w:t>\example</w:t>
      </w:r>
      <w:bookmarkStart w:id="0" w:name="_GoBack"/>
      <w:bookmarkEnd w:id="0"/>
    </w:p>
    <w:sectPr w:rsidR="003D2B90" w:rsidRPr="00167EE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B5F" w:rsidRDefault="00ED2B5F" w:rsidP="00083BD7">
      <w:pPr>
        <w:spacing w:after="0" w:line="240" w:lineRule="auto"/>
      </w:pPr>
      <w:r>
        <w:separator/>
      </w:r>
    </w:p>
  </w:endnote>
  <w:endnote w:type="continuationSeparator" w:id="0">
    <w:p w:rsidR="00ED2B5F" w:rsidRDefault="00ED2B5F" w:rsidP="0008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D7" w:rsidRDefault="00083BD7">
    <w:pPr>
      <w:pStyle w:val="Pieddepage"/>
    </w:pPr>
    <w:r>
      <w:rPr>
        <w:noProof/>
        <w:lang w:eastAsia="fr-FR"/>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1a004b3fbe51bcaf9995ba8e" descr="{&quot;HashCode&quot;:-363111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BD7" w:rsidRPr="00083BD7" w:rsidRDefault="00083BD7" w:rsidP="00083BD7">
                          <w:pPr>
                            <w:spacing w:after="0"/>
                            <w:jc w:val="center"/>
                            <w:rPr>
                              <w:rFonts w:ascii="Calibri" w:hAnsi="Calibri" w:cs="Calibri"/>
                              <w:color w:val="008000"/>
                              <w:sz w:val="20"/>
                            </w:rPr>
                          </w:pPr>
                          <w:r w:rsidRPr="00083BD7">
                            <w:rPr>
                              <w:rFonts w:ascii="Calibri" w:hAnsi="Calibri" w:cs="Calibri"/>
                              <w:color w:val="008000"/>
                              <w:sz w:val="20"/>
                            </w:rPr>
                            <w:t>{THALES GROUP LIMITED DISTRIBUTION}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a004b3fbe51bcaf9995ba8e" o:spid="_x0000_s1027" type="#_x0000_t202" alt="{&quot;HashCode&quot;:-36311177,&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" o:allowincell="f" filled="f" stroked="f" strokeweight=".5pt">
              <v:textbox inset=",0,,0">
                <w:txbxContent>
                  <w:p w:rsidR="00083BD7" w:rsidRPr="00083BD7" w:rsidRDefault="00083BD7" w:rsidP="00083BD7">
                    <w:pPr>
                      <w:spacing w:after="0"/>
                      <w:jc w:val="center"/>
                      <w:rPr>
                        <w:rFonts w:ascii="Calibri" w:hAnsi="Calibri" w:cs="Calibri"/>
                        <w:color w:val="008000"/>
                        <w:sz w:val="20"/>
                      </w:rPr>
                    </w:pPr>
                    <w:r w:rsidRPr="00083BD7">
                      <w:rPr>
                        <w:rFonts w:ascii="Calibri" w:hAnsi="Calibri" w:cs="Calibri"/>
                        <w:color w:val="008000"/>
                        <w:sz w:val="20"/>
                      </w:rPr>
                      <w:t>{THALES GROUP LIMITED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B5F" w:rsidRDefault="00ED2B5F" w:rsidP="00083BD7">
      <w:pPr>
        <w:spacing w:after="0" w:line="240" w:lineRule="auto"/>
      </w:pPr>
      <w:r>
        <w:separator/>
      </w:r>
    </w:p>
  </w:footnote>
  <w:footnote w:type="continuationSeparator" w:id="0">
    <w:p w:rsidR="00ED2B5F" w:rsidRDefault="00ED2B5F" w:rsidP="00083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D7" w:rsidRDefault="00083BD7">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595a4fea98e6ac4ac977c830" descr="{&quot;HashCode&quot;:-160725156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BD7" w:rsidRPr="00083BD7" w:rsidRDefault="00083BD7" w:rsidP="00083BD7">
                          <w:pPr>
                            <w:spacing w:after="0"/>
                            <w:rPr>
                              <w:rFonts w:ascii="Calibri" w:hAnsi="Calibri" w:cs="Calibri"/>
                              <w:color w:val="008000"/>
                              <w:sz w:val="20"/>
                            </w:rPr>
                          </w:pPr>
                          <w:r w:rsidRPr="00083BD7">
                            <w:rPr>
                              <w:rFonts w:ascii="Calibri" w:hAnsi="Calibri" w:cs="Calibri"/>
                              <w:color w:val="008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95a4fea98e6ac4ac977c830" o:spid="_x0000_s1026" type="#_x0000_t202" alt="{&quot;HashCode&quot;:-160725156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PvEMKMcAwAAOAYAAA4AAAAAAAAAAAAA&#10;AAAALgIAAGRycy9lMm9Eb2MueG1sUEsBAi0AFAAGAAgAAAAhAGkB3iPcAAAABwEAAA8AAAAAAAAA&#10;AAAAAAAAdgUAAGRycy9kb3ducmV2LnhtbFBLBQYAAAAABAAEAPMAAAB/BgAAAAA=&#10;" o:allowincell="f" filled="f" stroked="f" strokeweight=".5pt">
              <v:textbox inset="20pt,0,,0">
                <w:txbxContent>
                  <w:p w:rsidR="00083BD7" w:rsidRPr="00083BD7" w:rsidRDefault="00083BD7" w:rsidP="00083BD7">
                    <w:pPr>
                      <w:spacing w:after="0"/>
                      <w:rPr>
                        <w:rFonts w:ascii="Calibri" w:hAnsi="Calibri" w:cs="Calibri"/>
                        <w:color w:val="008000"/>
                        <w:sz w:val="20"/>
                      </w:rPr>
                    </w:pPr>
                    <w:r w:rsidRPr="00083BD7">
                      <w:rPr>
                        <w:rFonts w:ascii="Calibri" w:hAnsi="Calibri" w:cs="Calibri"/>
                        <w:color w:val="008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3349"/>
    <w:multiLevelType w:val="hybridMultilevel"/>
    <w:tmpl w:val="4EB4AB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F6"/>
    <w:rsid w:val="000112E4"/>
    <w:rsid w:val="00047D37"/>
    <w:rsid w:val="00083BD7"/>
    <w:rsid w:val="00151DE4"/>
    <w:rsid w:val="00153421"/>
    <w:rsid w:val="00167EEC"/>
    <w:rsid w:val="001E0CF6"/>
    <w:rsid w:val="00281093"/>
    <w:rsid w:val="0038010D"/>
    <w:rsid w:val="003D2B90"/>
    <w:rsid w:val="00483D3B"/>
    <w:rsid w:val="004E014E"/>
    <w:rsid w:val="00515A6B"/>
    <w:rsid w:val="0056777C"/>
    <w:rsid w:val="007104AC"/>
    <w:rsid w:val="007D4CCD"/>
    <w:rsid w:val="00882280"/>
    <w:rsid w:val="00A95DDE"/>
    <w:rsid w:val="00B95B7A"/>
    <w:rsid w:val="00B97D05"/>
    <w:rsid w:val="00C61041"/>
    <w:rsid w:val="00CD219A"/>
    <w:rsid w:val="00D37D5A"/>
    <w:rsid w:val="00D45C6C"/>
    <w:rsid w:val="00D91F86"/>
    <w:rsid w:val="00DD301F"/>
    <w:rsid w:val="00DE0637"/>
    <w:rsid w:val="00E40839"/>
    <w:rsid w:val="00E740F9"/>
    <w:rsid w:val="00ED2B5F"/>
    <w:rsid w:val="00F73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DDDF6"/>
  <w15:chartTrackingRefBased/>
  <w15:docId w15:val="{4F513270-D2F7-4D60-A206-279AE4AB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D301F"/>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DD301F"/>
    <w:pPr>
      <w:keepNext/>
      <w:keepLines/>
      <w:spacing w:before="40" w:after="0"/>
      <w:outlineLvl w:val="1"/>
    </w:pPr>
    <w:rPr>
      <w:rFonts w:asciiTheme="majorHAnsi" w:eastAsiaTheme="majorEastAsia" w:hAnsiTheme="majorHAnsi" w:cstheme="majorBidi"/>
      <w:i/>
      <w:color w:val="2E74B5" w:themeColor="accent1" w:themeShade="BF"/>
      <w:sz w:val="26"/>
      <w:szCs w:val="26"/>
      <w:u w:val="single"/>
    </w:rPr>
  </w:style>
  <w:style w:type="paragraph" w:styleId="Titre3">
    <w:name w:val="heading 3"/>
    <w:basedOn w:val="Normal"/>
    <w:next w:val="Normal"/>
    <w:link w:val="Titre3Car"/>
    <w:uiPriority w:val="9"/>
    <w:unhideWhenUsed/>
    <w:qFormat/>
    <w:rsid w:val="00DD301F"/>
    <w:pPr>
      <w:keepNext/>
      <w:keepLines/>
      <w:spacing w:before="40" w:after="0"/>
      <w:outlineLvl w:val="2"/>
    </w:pPr>
    <w:rPr>
      <w:rFonts w:asciiTheme="majorHAnsi" w:eastAsiaTheme="majorEastAsia" w:hAnsiTheme="majorHAnsi" w:cstheme="majorBidi"/>
      <w:color w:val="1F4D78" w:themeColor="accent1" w:themeShade="7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301F"/>
    <w:rPr>
      <w:rFonts w:asciiTheme="majorHAnsi" w:eastAsiaTheme="majorEastAsia" w:hAnsiTheme="majorHAnsi" w:cstheme="majorBidi"/>
      <w:b/>
      <w:color w:val="2E74B5" w:themeColor="accent1" w:themeShade="BF"/>
      <w:sz w:val="32"/>
      <w:szCs w:val="32"/>
      <w:u w:val="single"/>
    </w:rPr>
  </w:style>
  <w:style w:type="character" w:styleId="Textedelespacerserv">
    <w:name w:val="Placeholder Text"/>
    <w:basedOn w:val="Policepardfaut"/>
    <w:uiPriority w:val="99"/>
    <w:semiHidden/>
    <w:rsid w:val="00083BD7"/>
    <w:rPr>
      <w:color w:val="808080"/>
    </w:rPr>
  </w:style>
  <w:style w:type="paragraph" w:styleId="En-tte">
    <w:name w:val="header"/>
    <w:basedOn w:val="Normal"/>
    <w:link w:val="En-tteCar"/>
    <w:uiPriority w:val="99"/>
    <w:unhideWhenUsed/>
    <w:rsid w:val="00083BD7"/>
    <w:pPr>
      <w:tabs>
        <w:tab w:val="center" w:pos="4536"/>
        <w:tab w:val="right" w:pos="9072"/>
      </w:tabs>
      <w:spacing w:after="0" w:line="240" w:lineRule="auto"/>
    </w:pPr>
  </w:style>
  <w:style w:type="character" w:customStyle="1" w:styleId="En-tteCar">
    <w:name w:val="En-tête Car"/>
    <w:basedOn w:val="Policepardfaut"/>
    <w:link w:val="En-tte"/>
    <w:uiPriority w:val="99"/>
    <w:rsid w:val="00083BD7"/>
  </w:style>
  <w:style w:type="paragraph" w:styleId="Pieddepage">
    <w:name w:val="footer"/>
    <w:basedOn w:val="Normal"/>
    <w:link w:val="PieddepageCar"/>
    <w:uiPriority w:val="99"/>
    <w:unhideWhenUsed/>
    <w:rsid w:val="00083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BD7"/>
  </w:style>
  <w:style w:type="character" w:customStyle="1" w:styleId="Titre2Car">
    <w:name w:val="Titre 2 Car"/>
    <w:basedOn w:val="Policepardfaut"/>
    <w:link w:val="Titre2"/>
    <w:uiPriority w:val="9"/>
    <w:rsid w:val="00DD301F"/>
    <w:rPr>
      <w:rFonts w:asciiTheme="majorHAnsi" w:eastAsiaTheme="majorEastAsia" w:hAnsiTheme="majorHAnsi" w:cstheme="majorBidi"/>
      <w:i/>
      <w:color w:val="2E74B5" w:themeColor="accent1" w:themeShade="BF"/>
      <w:sz w:val="26"/>
      <w:szCs w:val="26"/>
      <w:u w:val="single"/>
    </w:rPr>
  </w:style>
  <w:style w:type="paragraph" w:styleId="Paragraphedeliste">
    <w:name w:val="List Paragraph"/>
    <w:basedOn w:val="Normal"/>
    <w:uiPriority w:val="34"/>
    <w:qFormat/>
    <w:rsid w:val="00DD301F"/>
    <w:pPr>
      <w:ind w:left="720"/>
      <w:contextualSpacing/>
    </w:pPr>
  </w:style>
  <w:style w:type="character" w:customStyle="1" w:styleId="Titre3Car">
    <w:name w:val="Titre 3 Car"/>
    <w:basedOn w:val="Policepardfaut"/>
    <w:link w:val="Titre3"/>
    <w:uiPriority w:val="9"/>
    <w:rsid w:val="00DD301F"/>
    <w:rPr>
      <w:rFonts w:asciiTheme="majorHAnsi" w:eastAsiaTheme="majorEastAsia" w:hAnsiTheme="majorHAnsi" w:cstheme="majorBidi"/>
      <w:color w:val="1F4D78"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555</Words>
  <Characters>3054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SICOT</dc:creator>
  <cp:keywords/>
  <dc:description/>
  <cp:lastModifiedBy>Julien SICOT</cp:lastModifiedBy>
  <cp:revision>3</cp:revision>
  <cp:lastPrinted>2024-02-13T10:18:00Z</cp:lastPrinted>
  <dcterms:created xsi:type="dcterms:W3CDTF">2024-02-23T09:05:00Z</dcterms:created>
  <dcterms:modified xsi:type="dcterms:W3CDTF">2024-02-26T10:11:00Z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970a7-9045-4e66-851b-0f6441328e62_Enabled">
    <vt:lpwstr>true</vt:lpwstr>
  </property>
  <property fmtid="{D5CDD505-2E9C-101B-9397-08002B2CF9AE}" pid="3" name="MSIP_Label_ff3970a7-9045-4e66-851b-0f6441328e62_SetDate">
    <vt:lpwstr>2024-02-26T10:11:31Z</vt:lpwstr>
  </property>
  <property fmtid="{D5CDD505-2E9C-101B-9397-08002B2CF9AE}" pid="4" name="MSIP_Label_ff3970a7-9045-4e66-851b-0f6441328e62_Method">
    <vt:lpwstr>Privileged</vt:lpwstr>
  </property>
  <property fmtid="{D5CDD505-2E9C-101B-9397-08002B2CF9AE}" pid="5" name="MSIP_Label_ff3970a7-9045-4e66-851b-0f6441328e62_Name">
    <vt:lpwstr>THALES-CORE-02</vt:lpwstr>
  </property>
  <property fmtid="{D5CDD505-2E9C-101B-9397-08002B2CF9AE}" pid="6" name="MSIP_Label_ff3970a7-9045-4e66-851b-0f6441328e62_SiteId">
    <vt:lpwstr>6e603289-5e46-4e26-ac7c-03a85420a9a5</vt:lpwstr>
  </property>
  <property fmtid="{D5CDD505-2E9C-101B-9397-08002B2CF9AE}" pid="7" name="MSIP_Label_ff3970a7-9045-4e66-851b-0f6441328e62_ActionId">
    <vt:lpwstr>0284fc3e-8827-46c2-b033-555980a19cd7</vt:lpwstr>
  </property>
  <property fmtid="{D5CDD505-2E9C-101B-9397-08002B2CF9AE}" pid="8" name="MSIP_Label_ff3970a7-9045-4e66-851b-0f6441328e62_ContentBits">
    <vt:lpwstr>3</vt:lpwstr>
  </property>
  <property fmtid="{D5CDD505-2E9C-101B-9397-08002B2CF9AE}" pid="9" name="Thales-Sensitivity">
    <vt:lpwstr>{TGLIMDIS}</vt:lpwstr>
  </property>
</Properties>
</file>