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Api's necesarias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GET_USERS: Api para llamar a los usuarios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() -&gt; Array(Users)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GET_PROJECTS: Api para llamar a los proyectos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Array(Projects)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GET_ENTITIES: Api para llamar a los entidades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Array(Entities)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UPSERT_USER: Api para crear y actualizar usuario.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(USER) =&gt; (USER)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UPSERT_ENTITIES: Api para crear y actualizar entidades.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(ENTITY) =&gt; (ENTITY)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DELETE_USER: Elimina un usuario: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DELETE_ENTITY: Elimina una entidad: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Logueo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correo y password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color w:val="0000FF"/>
          <w:sz w:val="48"/>
          <w:szCs w:val="48"/>
          <w:lang w:val="es-MX"/>
        </w:rPr>
        <w:t>Insersion Usuario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token, </w:t>
      </w:r>
      <w:r>
        <w:rPr>
          <w:rFonts w:hint="default" w:ascii="Arial" w:hAnsi="Arial"/>
          <w:color w:val="000000"/>
          <w:sz w:val="22"/>
          <w:szCs w:val="22"/>
          <w:lang w:val="es-MX"/>
        </w:rPr>
        <w:t xml:space="preserve">consulta: </w:t>
      </w: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16" name="Picture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tipo de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 y consulta, en consulta el valor es TipoEntidades 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las entidades que puede ser CENTRO, ALMACEN O LOCACION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token, dni_enterprise, nu_tipo_entidad_doc_ent y in_clasificacion_tipo_ent_doc_ent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27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 con filtro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4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Filtrar por Proyecto</w:t>
      </w:r>
      <w:r>
        <w:rPr>
          <w:rFonts w:ascii="Arial" w:hAnsi="Arial" w:cs="Arial"/>
          <w:color w:val="000000"/>
          <w:sz w:val="22"/>
          <w:szCs w:val="22"/>
        </w:rPr>
        <w:t>: se requiere enviar el token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, consulta, </w:t>
      </w:r>
      <w:bookmarkStart w:id="0" w:name="_GoBack"/>
      <w:bookmarkEnd w:id="0"/>
      <w:r>
        <w:rPr>
          <w:rFonts w:hint="default" w:ascii="Arial" w:hAnsi="Arial" w:cs="Arial"/>
          <w:color w:val="000000"/>
          <w:sz w:val="22"/>
          <w:szCs w:val="22"/>
          <w:lang w:val="es-MX"/>
        </w:rPr>
        <w:t>nu_tipo_entidad_pry, in_clasificacion_tipo_ent_pry,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Insertar una nueva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nu_entidad, in_clasificacion_ent y descripcion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POST, devuelve un json indicando si hemos tenido exito o no en la inserción 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19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error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lista de proyectos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GET, devuelve un json con la lista de los Proyectos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Actualizar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descripcion, nu_entidad, in_clasificacion_ent, nu_tipo_entidad_pry,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in_clasificacion_tipo_ent_pry, dni_enterprise, nu_tipo_entidad_doc_ent y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PUT, devuelve un json indicando si hemos tenido exito o no en la inserción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Eliminar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nu_tipo_entidad, in_clasificacion_tipo_ent, nu_entidad, in_clasificacion_ent, dni_enterprise, nu_tipo_entidad_doc_ent e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DELETE, devuelve un json indicando si hemos tenido exito o no en la eliminacion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42150" cy="4358005"/>
            <wp:effectExtent l="0" t="0" r="635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la eliminacion es logica se modifica en las columnas: nu_tipo_entidad_sta y in_clasificacion_tipo_ent_sta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021070" cy="15557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5949315" cy="1543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</w:pPr>
      <w:r>
        <w:drawing>
          <wp:inline distT="0" distB="0" distL="114300" distR="114300">
            <wp:extent cx="9105900" cy="44386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hint="default"/>
          <w:lang w:val="es-MX" w:eastAsia="es-VE"/>
        </w:rPr>
      </w:pPr>
      <w:r>
        <w:rPr>
          <w:rFonts w:hint="default"/>
          <w:lang w:val="es-MX" w:eastAsia="es-VE"/>
        </w:rPr>
        <w:t>El token es de nivel 2 (GGB-userAdmin) y se intentaba agregar otro GGB, lo que nose puede</w:t>
      </w:r>
    </w:p>
    <w:sectPr>
      <w:pgSz w:w="16839" w:h="23814"/>
      <w:pgMar w:top="851" w:right="1080" w:bottom="709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2A05EA"/>
    <w:rsid w:val="003F13BB"/>
    <w:rsid w:val="00604D47"/>
    <w:rsid w:val="00631C8A"/>
    <w:rsid w:val="00645C27"/>
    <w:rsid w:val="00666617"/>
    <w:rsid w:val="006C691E"/>
    <w:rsid w:val="00835D9B"/>
    <w:rsid w:val="00906F15"/>
    <w:rsid w:val="00AA15EF"/>
    <w:rsid w:val="00B271A9"/>
    <w:rsid w:val="00B82193"/>
    <w:rsid w:val="00C36930"/>
    <w:rsid w:val="00C94B4E"/>
    <w:rsid w:val="00CE6F95"/>
    <w:rsid w:val="00DD273A"/>
    <w:rsid w:val="00F35D1C"/>
    <w:rsid w:val="00F82A86"/>
    <w:rsid w:val="00FE5191"/>
    <w:rsid w:val="142449E8"/>
    <w:rsid w:val="16091501"/>
    <w:rsid w:val="2D9F0FAD"/>
    <w:rsid w:val="41324ED4"/>
    <w:rsid w:val="49E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s-VE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link w:val="9"/>
    <w:uiPriority w:val="0"/>
    <w:pPr>
      <w:tabs>
        <w:tab w:val="center" w:pos="4419"/>
        <w:tab w:val="right" w:pos="8838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3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Pie de página Car"/>
    <w:basedOn w:val="2"/>
    <w:link w:val="4"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1005</Words>
  <Characters>5529</Characters>
  <Lines>46</Lines>
  <Paragraphs>13</Paragraphs>
  <TotalTime>333</TotalTime>
  <ScaleCrop>false</ScaleCrop>
  <LinksUpToDate>false</LinksUpToDate>
  <CharactersWithSpaces>6521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2023-01-24T12:20:00Z</dcterms:created>
  <dc:creator>Snilk</dc:creator>
  <cp:lastModifiedBy>John Barragan</cp:lastModifiedBy>
  <dcterms:modified xsi:type="dcterms:W3CDTF">2023-02-11T19:35:15Z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