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4 -->
  <w:body>
    <w:p w14:paraId="29DC459A">
      <w:pPr>
        <w:jc w:val="center"/>
        <w:rPr>
          <w:rFonts w:ascii="黑体" w:eastAsia="黑体"/>
          <w:sz w:val="52"/>
        </w:rPr>
      </w:pPr>
    </w:p>
    <w:p w14:paraId="392B9D68">
      <w:pPr>
        <w:jc w:val="center"/>
        <w:rPr>
          <w:rFonts w:ascii="黑体" w:eastAsia="黑体"/>
          <w:sz w:val="52"/>
        </w:rPr>
      </w:pPr>
      <w:r>
        <w:rPr>
          <w:rFonts w:ascii="黑体" w:eastAsia="黑体"/>
          <w:sz w:val="52"/>
        </w:rPr>
        <w:drawing>
          <wp:inline distT="0" distB="0" distL="0" distR="0">
            <wp:extent cx="3267075" cy="8667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5511" name="图片 1"/>
                    <pic:cNvPicPr>
                      <a:picLocks noChangeAspect="1" noChangeArrowheads="1"/>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267075" cy="866775"/>
                    </a:xfrm>
                    <a:prstGeom prst="rect">
                      <a:avLst/>
                    </a:prstGeom>
                    <a:noFill/>
                    <a:ln>
                      <a:noFill/>
                    </a:ln>
                  </pic:spPr>
                </pic:pic>
              </a:graphicData>
            </a:graphic>
          </wp:inline>
        </w:drawing>
      </w:r>
    </w:p>
    <w:p w14:paraId="6DAB5ACB">
      <w:pPr>
        <w:jc w:val="center"/>
        <w:rPr>
          <w:rFonts w:ascii="宋体"/>
          <w:sz w:val="84"/>
        </w:rPr>
      </w:pPr>
    </w:p>
    <w:p w14:paraId="1FF4E212">
      <w:pPr>
        <w:jc w:val="center"/>
        <w:rPr>
          <w:rFonts w:ascii="黑体" w:eastAsia="黑体"/>
          <w:b/>
          <w:sz w:val="44"/>
        </w:rPr>
      </w:pPr>
      <w:r>
        <w:rPr>
          <w:rFonts w:ascii="黑体" w:eastAsia="黑体" w:hint="eastAsia"/>
          <w:b/>
          <w:sz w:val="44"/>
          <w:u w:val="single"/>
          <w:lang w:val="en-US" w:eastAsia="zh-CN"/>
        </w:rPr>
        <w:t xml:space="preserve"> </w:t>
      </w:r>
      <w:r>
        <w:rPr>
          <w:rFonts w:ascii="黑体" w:eastAsia="黑体" w:hint="eastAsia"/>
          <w:b/>
          <w:sz w:val="44"/>
          <w:u w:val="single"/>
          <w:lang w:val="en-US" w:eastAsia="zh-CN"/>
        </w:rPr>
        <w:t>2026</w:t>
      </w:r>
      <w:r>
        <w:rPr>
          <w:rFonts w:ascii="黑体" w:eastAsia="黑体" w:hint="eastAsia"/>
          <w:b/>
          <w:sz w:val="44"/>
          <w:u w:val="single"/>
          <w:lang w:val="en-US" w:eastAsia="zh-CN"/>
        </w:rPr>
        <w:t xml:space="preserve"> </w:t>
      </w:r>
      <w:r>
        <w:rPr>
          <w:rFonts w:ascii="黑体" w:eastAsia="黑体" w:hint="eastAsia"/>
          <w:b/>
          <w:sz w:val="44"/>
          <w:lang w:val="en-US" w:eastAsia="zh-CN"/>
        </w:rPr>
        <w:t>届</w:t>
      </w:r>
      <w:bookmarkStart w:id="0" w:name="_GoBack"/>
      <w:bookmarkEnd w:id="0"/>
    </w:p>
    <w:p w14:paraId="5B19B075">
      <w:pPr>
        <w:spacing w:before="156" w:beforeLines="50"/>
        <w:jc w:val="center"/>
        <w:rPr>
          <w:rFonts w:ascii="黑体" w:eastAsia="黑体"/>
          <w:b/>
          <w:sz w:val="46"/>
        </w:rPr>
      </w:pPr>
      <w:r>
        <w:rPr>
          <w:rFonts w:ascii="黑体" w:eastAsia="黑体" w:hint="eastAsia"/>
          <w:b/>
          <w:sz w:val="46"/>
        </w:rPr>
        <w:t>学士学位毕业论文(设计)材料册</w:t>
      </w:r>
    </w:p>
    <w:p w14:paraId="5004D660">
      <w:pPr>
        <w:jc w:val="center"/>
        <w:rPr>
          <w:rFonts w:ascii="黑体" w:eastAsia="黑体"/>
          <w:sz w:val="52"/>
        </w:rPr>
      </w:pPr>
    </w:p>
    <w:p w14:paraId="3168B24E">
      <w:pPr>
        <w:jc w:val="center"/>
        <w:rPr>
          <w:rFonts w:ascii="黑体" w:eastAsia="黑体"/>
          <w:sz w:val="52"/>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659"/>
        <w:gridCol w:w="3685"/>
      </w:tblGrid>
      <w:tr w14:paraId="374A41D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95"/>
          <w:jc w:val="center"/>
        </w:trPr>
        <w:tc>
          <w:tcPr>
            <w:tcW w:w="2659" w:type="dxa"/>
            <w:tcBorders>
              <w:top w:val="nil"/>
              <w:left w:val="nil"/>
              <w:bottom w:val="nil"/>
              <w:right w:val="nil"/>
            </w:tcBorders>
            <w:vAlign w:val="bottom"/>
          </w:tcPr>
          <w:p w14:paraId="1DFED33B">
            <w:pPr>
              <w:jc w:val="distribute"/>
              <w:rPr>
                <w:rFonts w:ascii="宋体" w:hAnsi="宋体"/>
                <w:sz w:val="32"/>
              </w:rPr>
            </w:pPr>
            <w:r>
              <w:rPr>
                <w:rFonts w:ascii="仿宋_GB2312" w:eastAsia="仿宋_GB2312" w:hAnsi="宋体" w:hint="eastAsia"/>
                <w:sz w:val="32"/>
              </w:rPr>
              <w:t>学位申请人姓名</w:t>
            </w:r>
          </w:p>
        </w:tc>
        <w:tc>
          <w:tcPr>
            <w:tcW w:w="3685" w:type="dxa"/>
            <w:tcBorders>
              <w:top w:val="nil"/>
              <w:left w:val="nil"/>
              <w:bottom w:val="single" w:sz="4" w:space="0" w:color="auto"/>
              <w:right w:val="nil"/>
            </w:tcBorders>
            <w:vAlign w:val="bottom"/>
          </w:tcPr>
          <w:p w14:paraId="1CCAF213">
            <w:pPr>
              <w:jc w:val="center"/>
              <w:rPr>
                <w:rFonts w:ascii="宋体" w:hAnsi="宋体"/>
                <w:sz w:val="28"/>
              </w:rPr>
            </w:pPr>
            <w:r>
              <w:rPr>
                <w:rFonts w:ascii="宋体" w:hAnsi="宋体" w:hint="eastAsia"/>
                <w:sz w:val="28"/>
              </w:rPr>
              <w:t>罗佳菲</w:t>
            </w:r>
          </w:p>
        </w:tc>
      </w:tr>
      <w:tr w14:paraId="72C03B6B">
        <w:tblPrEx>
          <w:tblW w:w="0" w:type="auto"/>
          <w:jc w:val="center"/>
          <w:tblLayout w:type="fixed"/>
          <w:tblCellMar>
            <w:top w:w="0" w:type="dxa"/>
            <w:left w:w="108" w:type="dxa"/>
            <w:bottom w:w="0" w:type="dxa"/>
            <w:right w:w="108" w:type="dxa"/>
          </w:tblCellMar>
        </w:tblPrEx>
        <w:trPr>
          <w:trHeight w:val="795"/>
          <w:jc w:val="center"/>
        </w:trPr>
        <w:tc>
          <w:tcPr>
            <w:tcW w:w="2659" w:type="dxa"/>
            <w:tcBorders>
              <w:top w:val="nil"/>
              <w:left w:val="nil"/>
              <w:bottom w:val="nil"/>
              <w:right w:val="nil"/>
            </w:tcBorders>
            <w:vAlign w:val="bottom"/>
          </w:tcPr>
          <w:p w14:paraId="0A2BA1F9">
            <w:pPr>
              <w:jc w:val="distribute"/>
              <w:rPr>
                <w:rFonts w:ascii="宋体" w:hAnsi="宋体"/>
                <w:sz w:val="32"/>
              </w:rPr>
            </w:pPr>
            <w:r>
              <w:rPr>
                <w:rFonts w:ascii="仿宋_GB2312" w:eastAsia="仿宋_GB2312" w:hAnsi="宋体" w:hint="eastAsia"/>
                <w:kern w:val="0"/>
                <w:sz w:val="32"/>
              </w:rPr>
              <w:t xml:space="preserve">学          </w:t>
            </w:r>
            <w:r>
              <w:rPr>
                <w:rFonts w:ascii="仿宋_GB2312" w:eastAsia="仿宋_GB2312" w:hAnsi="宋体" w:hint="eastAsia"/>
                <w:spacing w:val="52"/>
                <w:kern w:val="0"/>
                <w:sz w:val="32"/>
              </w:rPr>
              <w:t>号</w:t>
            </w:r>
          </w:p>
        </w:tc>
        <w:tc>
          <w:tcPr>
            <w:tcW w:w="3685" w:type="dxa"/>
            <w:tcBorders>
              <w:top w:val="single" w:sz="4" w:space="0" w:color="auto"/>
              <w:left w:val="nil"/>
              <w:bottom w:val="single" w:sz="4" w:space="0" w:color="auto"/>
              <w:right w:val="nil"/>
            </w:tcBorders>
            <w:vAlign w:val="bottom"/>
          </w:tcPr>
          <w:p w14:paraId="4F6F2054">
            <w:pPr>
              <w:jc w:val="center"/>
              <w:rPr>
                <w:rFonts w:ascii="宋体" w:hAnsi="宋体"/>
                <w:sz w:val="28"/>
              </w:rPr>
            </w:pPr>
            <w:r>
              <w:rPr>
                <w:rFonts w:ascii="宋体" w:hAnsi="宋体" w:hint="eastAsia"/>
                <w:sz w:val="28"/>
              </w:rPr>
              <w:t>2022212143</w:t>
            </w:r>
          </w:p>
        </w:tc>
      </w:tr>
      <w:tr w14:paraId="3A348545">
        <w:tblPrEx>
          <w:tblW w:w="0" w:type="auto"/>
          <w:jc w:val="center"/>
          <w:tblLayout w:type="fixed"/>
          <w:tblCellMar>
            <w:top w:w="0" w:type="dxa"/>
            <w:left w:w="108" w:type="dxa"/>
            <w:bottom w:w="0" w:type="dxa"/>
            <w:right w:w="108" w:type="dxa"/>
          </w:tblCellMar>
        </w:tblPrEx>
        <w:trPr>
          <w:trHeight w:val="795"/>
          <w:jc w:val="center"/>
        </w:trPr>
        <w:tc>
          <w:tcPr>
            <w:tcW w:w="2659" w:type="dxa"/>
            <w:tcBorders>
              <w:top w:val="nil"/>
              <w:left w:val="nil"/>
              <w:bottom w:val="nil"/>
              <w:right w:val="nil"/>
            </w:tcBorders>
            <w:vAlign w:val="bottom"/>
          </w:tcPr>
          <w:p w14:paraId="0D048002">
            <w:pPr>
              <w:jc w:val="distribute"/>
              <w:rPr>
                <w:rFonts w:ascii="宋体" w:hAnsi="宋体"/>
                <w:sz w:val="32"/>
              </w:rPr>
            </w:pPr>
            <w:r>
              <w:rPr>
                <w:rFonts w:ascii="仿宋_GB2312" w:eastAsia="仿宋_GB2312" w:hAnsi="宋体" w:hint="eastAsia"/>
                <w:spacing w:val="30"/>
                <w:kern w:val="0"/>
                <w:sz w:val="32"/>
              </w:rPr>
              <w:t>所在学院名</w:t>
            </w:r>
            <w:r>
              <w:rPr>
                <w:rFonts w:ascii="仿宋_GB2312" w:eastAsia="仿宋_GB2312" w:hAnsi="宋体" w:hint="eastAsia"/>
                <w:spacing w:val="22"/>
                <w:kern w:val="0"/>
                <w:sz w:val="32"/>
              </w:rPr>
              <w:t>称</w:t>
            </w:r>
          </w:p>
        </w:tc>
        <w:tc>
          <w:tcPr>
            <w:tcW w:w="3685" w:type="dxa"/>
            <w:tcBorders>
              <w:top w:val="single" w:sz="4" w:space="0" w:color="auto"/>
              <w:left w:val="nil"/>
              <w:bottom w:val="single" w:sz="4" w:space="0" w:color="auto"/>
              <w:right w:val="nil"/>
            </w:tcBorders>
            <w:vAlign w:val="bottom"/>
          </w:tcPr>
          <w:p w14:paraId="778E6E66">
            <w:pPr>
              <w:jc w:val="center"/>
              <w:rPr>
                <w:rFonts w:ascii="宋体" w:hAnsi="宋体"/>
                <w:sz w:val="28"/>
              </w:rPr>
            </w:pPr>
            <w:r>
              <w:rPr>
                <w:rFonts w:ascii="宋体" w:hAnsi="宋体" w:hint="eastAsia"/>
                <w:sz w:val="28"/>
              </w:rPr>
              <w:t>经济与工商管理学院</w:t>
            </w:r>
          </w:p>
        </w:tc>
      </w:tr>
      <w:tr w14:paraId="5992A3CE">
        <w:tblPrEx>
          <w:tblW w:w="0" w:type="auto"/>
          <w:jc w:val="center"/>
          <w:tblLayout w:type="fixed"/>
          <w:tblCellMar>
            <w:top w:w="0" w:type="dxa"/>
            <w:left w:w="108" w:type="dxa"/>
            <w:bottom w:w="0" w:type="dxa"/>
            <w:right w:w="108" w:type="dxa"/>
          </w:tblCellMar>
        </w:tblPrEx>
        <w:trPr>
          <w:trHeight w:val="795"/>
          <w:jc w:val="center"/>
        </w:trPr>
        <w:tc>
          <w:tcPr>
            <w:tcW w:w="2659" w:type="dxa"/>
            <w:tcBorders>
              <w:top w:val="nil"/>
              <w:left w:val="nil"/>
              <w:bottom w:val="nil"/>
              <w:right w:val="nil"/>
            </w:tcBorders>
            <w:vAlign w:val="bottom"/>
          </w:tcPr>
          <w:p w14:paraId="6E350F15">
            <w:pPr>
              <w:jc w:val="distribute"/>
              <w:rPr>
                <w:rFonts w:ascii="宋体" w:hAnsi="宋体"/>
                <w:sz w:val="32"/>
              </w:rPr>
            </w:pPr>
            <w:r>
              <w:rPr>
                <w:rFonts w:ascii="仿宋_GB2312" w:eastAsia="仿宋_GB2312" w:hAnsi="宋体" w:hint="eastAsia"/>
                <w:spacing w:val="30"/>
                <w:kern w:val="0"/>
                <w:sz w:val="32"/>
              </w:rPr>
              <w:t xml:space="preserve">专 业 名 </w:t>
            </w:r>
            <w:r>
              <w:rPr>
                <w:rFonts w:ascii="仿宋_GB2312" w:eastAsia="仿宋_GB2312" w:hAnsi="宋体" w:hint="eastAsia"/>
                <w:spacing w:val="82"/>
                <w:kern w:val="0"/>
                <w:sz w:val="32"/>
              </w:rPr>
              <w:t>称</w:t>
            </w:r>
          </w:p>
        </w:tc>
        <w:tc>
          <w:tcPr>
            <w:tcW w:w="3685" w:type="dxa"/>
            <w:tcBorders>
              <w:top w:val="single" w:sz="4" w:space="0" w:color="auto"/>
              <w:left w:val="nil"/>
              <w:bottom w:val="single" w:sz="4" w:space="0" w:color="auto"/>
              <w:right w:val="nil"/>
            </w:tcBorders>
            <w:vAlign w:val="bottom"/>
          </w:tcPr>
          <w:p w14:paraId="1A2557CA">
            <w:pPr>
              <w:jc w:val="center"/>
              <w:rPr>
                <w:rFonts w:ascii="宋体" w:hAnsi="宋体"/>
                <w:sz w:val="28"/>
              </w:rPr>
            </w:pPr>
            <w:r>
              <w:rPr>
                <w:rFonts w:ascii="宋体" w:hAnsi="宋体" w:hint="eastAsia"/>
                <w:sz w:val="28"/>
              </w:rPr>
              <w:t>金融工程_410</w:t>
            </w:r>
          </w:p>
        </w:tc>
      </w:tr>
      <w:tr w14:paraId="265A1B3A">
        <w:tblPrEx>
          <w:tblW w:w="0" w:type="auto"/>
          <w:jc w:val="center"/>
          <w:tblLayout w:type="fixed"/>
          <w:tblCellMar>
            <w:top w:w="0" w:type="dxa"/>
            <w:left w:w="108" w:type="dxa"/>
            <w:bottom w:w="0" w:type="dxa"/>
            <w:right w:w="108" w:type="dxa"/>
          </w:tblCellMar>
        </w:tblPrEx>
        <w:trPr>
          <w:trHeight w:val="795"/>
          <w:jc w:val="center"/>
        </w:trPr>
        <w:tc>
          <w:tcPr>
            <w:tcW w:w="2659" w:type="dxa"/>
            <w:tcBorders>
              <w:top w:val="nil"/>
              <w:left w:val="nil"/>
              <w:bottom w:val="nil"/>
              <w:right w:val="nil"/>
            </w:tcBorders>
            <w:vAlign w:val="bottom"/>
          </w:tcPr>
          <w:p w14:paraId="373EC6AA">
            <w:pPr>
              <w:jc w:val="distribute"/>
              <w:rPr>
                <w:rFonts w:ascii="宋体" w:hAnsi="宋体"/>
                <w:sz w:val="32"/>
              </w:rPr>
            </w:pPr>
            <w:r>
              <w:rPr>
                <w:rFonts w:ascii="仿宋_GB2312" w:eastAsia="仿宋_GB2312" w:hAnsi="宋体" w:hint="eastAsia"/>
                <w:spacing w:val="30"/>
                <w:kern w:val="0"/>
                <w:sz w:val="32"/>
              </w:rPr>
              <w:t>指导教师姓</w:t>
            </w:r>
            <w:r>
              <w:rPr>
                <w:rFonts w:ascii="仿宋_GB2312" w:eastAsia="仿宋_GB2312" w:hAnsi="宋体" w:hint="eastAsia"/>
                <w:spacing w:val="22"/>
                <w:kern w:val="0"/>
                <w:sz w:val="32"/>
              </w:rPr>
              <w:t>名</w:t>
            </w:r>
          </w:p>
        </w:tc>
        <w:tc>
          <w:tcPr>
            <w:tcW w:w="3685" w:type="dxa"/>
            <w:tcBorders>
              <w:top w:val="single" w:sz="4" w:space="0" w:color="auto"/>
              <w:left w:val="nil"/>
              <w:bottom w:val="single" w:sz="4" w:space="0" w:color="auto"/>
              <w:right w:val="nil"/>
            </w:tcBorders>
            <w:vAlign w:val="bottom"/>
          </w:tcPr>
          <w:p w14:paraId="040846D7">
            <w:pPr>
              <w:jc w:val="center"/>
              <w:rPr>
                <w:rFonts w:ascii="宋体" w:hAnsi="宋体"/>
                <w:sz w:val="28"/>
              </w:rPr>
            </w:pPr>
            <w:r>
              <w:rPr>
                <w:rFonts w:ascii="宋体" w:hAnsi="宋体" w:hint="eastAsia"/>
                <w:sz w:val="28"/>
              </w:rPr>
              <w:t>李好</w:t>
            </w:r>
          </w:p>
        </w:tc>
      </w:tr>
      <w:tr w14:paraId="27A07B91">
        <w:tblPrEx>
          <w:tblW w:w="0" w:type="auto"/>
          <w:jc w:val="center"/>
          <w:tblLayout w:type="fixed"/>
          <w:tblCellMar>
            <w:top w:w="0" w:type="dxa"/>
            <w:left w:w="108" w:type="dxa"/>
            <w:bottom w:w="0" w:type="dxa"/>
            <w:right w:w="108" w:type="dxa"/>
          </w:tblCellMar>
        </w:tblPrEx>
        <w:trPr>
          <w:trHeight w:val="795"/>
          <w:jc w:val="center"/>
        </w:trPr>
        <w:tc>
          <w:tcPr>
            <w:tcW w:w="2659" w:type="dxa"/>
            <w:tcBorders>
              <w:top w:val="nil"/>
              <w:left w:val="nil"/>
              <w:bottom w:val="nil"/>
              <w:right w:val="nil"/>
            </w:tcBorders>
            <w:vAlign w:val="bottom"/>
          </w:tcPr>
          <w:p w14:paraId="09241D6A">
            <w:pPr>
              <w:jc w:val="distribute"/>
              <w:rPr>
                <w:rFonts w:ascii="宋体" w:hAnsi="宋体"/>
                <w:sz w:val="32"/>
              </w:rPr>
            </w:pPr>
            <w:r>
              <w:rPr>
                <w:rFonts w:ascii="仿宋_GB2312" w:eastAsia="仿宋_GB2312" w:hAnsi="宋体" w:hint="eastAsia"/>
                <w:spacing w:val="30"/>
                <w:kern w:val="0"/>
                <w:sz w:val="32"/>
              </w:rPr>
              <w:t>指导教师职</w:t>
            </w:r>
            <w:r>
              <w:rPr>
                <w:rFonts w:ascii="仿宋_GB2312" w:eastAsia="仿宋_GB2312" w:hAnsi="宋体" w:hint="eastAsia"/>
                <w:spacing w:val="22"/>
                <w:kern w:val="0"/>
                <w:sz w:val="32"/>
              </w:rPr>
              <w:t>称</w:t>
            </w:r>
          </w:p>
        </w:tc>
        <w:tc>
          <w:tcPr>
            <w:tcW w:w="3685" w:type="dxa"/>
            <w:tcBorders>
              <w:top w:val="single" w:sz="4" w:space="0" w:color="auto"/>
              <w:left w:val="nil"/>
              <w:bottom w:val="single" w:sz="4" w:space="0" w:color="auto"/>
              <w:right w:val="nil"/>
            </w:tcBorders>
            <w:vAlign w:val="bottom"/>
          </w:tcPr>
          <w:p w14:paraId="7E9D0C28">
            <w:pPr>
              <w:jc w:val="center"/>
              <w:rPr>
                <w:rFonts w:ascii="宋体" w:hAnsi="宋体"/>
                <w:sz w:val="28"/>
              </w:rPr>
            </w:pPr>
            <w:r>
              <w:rPr>
                <w:rFonts w:ascii="宋体" w:hAnsi="宋体" w:hint="eastAsia"/>
                <w:sz w:val="28"/>
              </w:rPr>
              <w:t>副教授</w:t>
            </w:r>
          </w:p>
        </w:tc>
      </w:tr>
    </w:tbl>
    <w:p w14:paraId="6E033E26">
      <w:pPr>
        <w:ind w:firstLine="1400" w:firstLineChars="500"/>
        <w:rPr>
          <w:rFonts w:ascii="宋体" w:hAnsi="宋体"/>
          <w:sz w:val="28"/>
        </w:rPr>
      </w:pPr>
    </w:p>
    <w:p w14:paraId="34B1922B">
      <w:pPr>
        <w:tabs>
          <w:tab w:val="left" w:pos="2880"/>
        </w:tabs>
        <w:rPr>
          <w:rFonts w:ascii="黑体" w:eastAsia="黑体"/>
          <w:sz w:val="30"/>
        </w:rPr>
      </w:pPr>
      <w:r>
        <w:rPr>
          <w:rFonts w:ascii="黑体" w:eastAsia="黑体" w:hint="eastAsia"/>
          <w:sz w:val="30"/>
        </w:rPr>
        <w:br w:type="page"/>
      </w:r>
      <w:r>
        <w:rPr>
          <w:rFonts w:ascii="黑体" w:eastAsia="黑体"/>
          <w:sz w:val="30"/>
        </w:rPr>
        <w:tab/>
      </w:r>
    </w:p>
    <w:p w14:paraId="2F653C4B">
      <w:pPr>
        <w:jc w:val="center"/>
        <w:rPr>
          <w:rFonts w:ascii="黑体" w:eastAsia="黑体"/>
          <w:sz w:val="30"/>
        </w:rPr>
      </w:pPr>
    </w:p>
    <w:p w14:paraId="27DAC2E7">
      <w:pPr>
        <w:jc w:val="center"/>
        <w:rPr>
          <w:rFonts w:ascii="方正粗宋简体" w:eastAsia="方正粗宋简体"/>
          <w:b/>
          <w:sz w:val="32"/>
          <w:szCs w:val="32"/>
        </w:rPr>
      </w:pPr>
      <w:r>
        <w:rPr>
          <w:rFonts w:ascii="方正粗宋简体" w:eastAsia="方正粗宋简体" w:hint="eastAsia"/>
          <w:b/>
          <w:sz w:val="32"/>
          <w:szCs w:val="32"/>
        </w:rPr>
        <w:t>情 况 说 明</w:t>
      </w:r>
    </w:p>
    <w:p w14:paraId="6E94F3AF">
      <w:pPr>
        <w:spacing w:before="234" w:beforeLines="75"/>
        <w:ind w:firstLine="560" w:firstLineChars="200"/>
        <w:jc w:val="left"/>
        <w:rPr>
          <w:rFonts w:ascii="宋体" w:hAnsi="宋体"/>
          <w:sz w:val="28"/>
        </w:rPr>
      </w:pPr>
      <w:r>
        <w:rPr>
          <w:rFonts w:ascii="宋体" w:hAnsi="宋体" w:hint="eastAsia"/>
          <w:sz w:val="28"/>
        </w:rPr>
        <w:t>1．《华中师范大学本科毕业论文（设计）开题报告表》：该表于第7学期结束前完成。</w:t>
      </w:r>
    </w:p>
    <w:p w14:paraId="079221EB">
      <w:pPr>
        <w:ind w:firstLine="560" w:firstLineChars="200"/>
        <w:rPr>
          <w:rFonts w:ascii="宋体" w:hAnsi="宋体"/>
          <w:sz w:val="28"/>
        </w:rPr>
      </w:pPr>
      <w:r>
        <w:rPr>
          <w:rFonts w:ascii="宋体" w:hAnsi="宋体" w:hint="eastAsia"/>
          <w:sz w:val="28"/>
        </w:rPr>
        <w:t>2．《华中师范大学本科毕业论文(设计)指导记录表》：该表第一次指导记录于第8学期2月完成；</w:t>
      </w:r>
      <w:bookmarkStart w:id="1" w:name="OLE_LINK2"/>
      <w:r>
        <w:rPr>
          <w:rFonts w:ascii="宋体" w:hAnsi="宋体" w:hint="eastAsia"/>
          <w:sz w:val="28"/>
        </w:rPr>
        <w:t>第二次指导记录</w:t>
      </w:r>
      <w:bookmarkEnd w:id="1"/>
      <w:r>
        <w:rPr>
          <w:rFonts w:ascii="宋体" w:hAnsi="宋体" w:hint="eastAsia"/>
          <w:sz w:val="28"/>
        </w:rPr>
        <w:t>于第8学期3月完成；第三次及以上指导记录于第8学期4月30日前完成。即第8学期开学后至4月30日前完成毕业论文（设计）写作（不少于6周）。</w:t>
      </w:r>
    </w:p>
    <w:p w14:paraId="2DB7932F">
      <w:pPr>
        <w:ind w:firstLine="560" w:firstLineChars="200"/>
        <w:rPr>
          <w:rFonts w:ascii="宋体" w:hAnsi="宋体"/>
          <w:sz w:val="28"/>
        </w:rPr>
      </w:pPr>
      <w:r>
        <w:rPr>
          <w:rFonts w:ascii="宋体" w:hAnsi="宋体" w:hint="eastAsia"/>
          <w:sz w:val="28"/>
        </w:rPr>
        <w:t>3．《华中师范大学本科毕业论文(设计)答辩记录》：第8学期5月15日之前完成毕业论文(设计)答辩工作。答辩时将该表交由答辩组秘书作答辩记录用。</w:t>
      </w:r>
    </w:p>
    <w:p w14:paraId="10C76715">
      <w:pPr>
        <w:ind w:firstLine="560" w:firstLineChars="200"/>
        <w:rPr>
          <w:rFonts w:ascii="宋体" w:hAnsi="宋体"/>
          <w:sz w:val="28"/>
        </w:rPr>
      </w:pPr>
      <w:r>
        <w:rPr>
          <w:rFonts w:ascii="宋体" w:hAnsi="宋体" w:hint="eastAsia"/>
          <w:sz w:val="28"/>
        </w:rPr>
        <w:t>4．《</w:t>
      </w:r>
      <w:r>
        <w:rPr>
          <w:rFonts w:ascii="宋体" w:hAnsi="宋体" w:hint="eastAsia"/>
          <w:sz w:val="28"/>
          <w:szCs w:val="32"/>
        </w:rPr>
        <w:t>华中师范大学本科毕业论文（设计）成绩评定表》：该表一式二</w:t>
      </w:r>
      <w:r>
        <w:rPr>
          <w:rFonts w:ascii="宋体" w:hAnsi="宋体" w:hint="eastAsia"/>
          <w:sz w:val="28"/>
        </w:rPr>
        <w:t>份，一份装入学生档案，一份随材料册装订。</w:t>
      </w:r>
    </w:p>
    <w:p w14:paraId="3E773129">
      <w:pPr>
        <w:ind w:firstLine="560" w:firstLineChars="200"/>
        <w:rPr>
          <w:rFonts w:ascii="宋体" w:hAnsi="宋体"/>
          <w:sz w:val="28"/>
        </w:rPr>
      </w:pPr>
      <w:r>
        <w:rPr>
          <w:rFonts w:ascii="宋体" w:hAnsi="宋体" w:hint="eastAsia"/>
          <w:sz w:val="28"/>
        </w:rPr>
        <w:t>学士学位毕业论文(设计)材料册中各表格填写完毕后，经学校各部门审核盖章，按以上顺序统一装订，整理归档并永久保存。</w:t>
      </w:r>
    </w:p>
    <w:p w14:paraId="0C06E261">
      <w:pPr>
        <w:ind w:firstLine="640" w:firstLineChars="200"/>
        <w:rPr>
          <w:rFonts w:ascii="黑体" w:eastAsia="黑体"/>
          <w:b/>
          <w:sz w:val="32"/>
          <w:szCs w:val="32"/>
        </w:rPr>
      </w:pPr>
    </w:p>
    <w:p w14:paraId="65324E90"/>
    <w:p w14:paraId="7BD1D550"/>
    <w:p w14:paraId="55C07419"/>
    <w:p w14:paraId="42D3AA7E"/>
    <w:p w14:paraId="0216B593"/>
    <w:p w14:paraId="0C2913E5"/>
    <w:p w14:paraId="0368B236">
      <w:pPr>
        <w:jc w:val="center"/>
        <w:rPr>
          <w:rFonts w:ascii="宋体" w:hAnsi="宋体" w:cs="宋体"/>
          <w:b/>
          <w:sz w:val="38"/>
          <w:szCs w:val="32"/>
        </w:rPr>
        <w:sectPr>
          <w:pgSz w:w="11906" w:h="16838"/>
          <w:pgMar w:top="1701" w:right="1797" w:bottom="1440" w:left="1797" w:header="851" w:footer="992" w:gutter="0"/>
          <w:cols w:num="1" w:space="720"/>
          <w:docGrid w:type="lines" w:linePitch="312" w:charSpace="0"/>
        </w:sectPr>
      </w:pPr>
    </w:p>
    <w:p w14:paraId="68A9EBE9">
      <w:pPr>
        <w:jc w:val="center"/>
        <w:rPr>
          <w:rFonts w:ascii="宋体" w:hAnsi="宋体" w:cs="宋体"/>
          <w:b/>
          <w:sz w:val="38"/>
          <w:szCs w:val="32"/>
        </w:rPr>
      </w:pPr>
    </w:p>
    <w:p w14:paraId="064A2622">
      <w:pPr>
        <w:jc w:val="center"/>
        <w:rPr>
          <w:rFonts w:ascii="宋体" w:hAnsi="宋体" w:cs="宋体"/>
          <w:b/>
          <w:sz w:val="38"/>
          <w:szCs w:val="32"/>
        </w:rPr>
      </w:pPr>
    </w:p>
    <w:p w14:paraId="3D596A98">
      <w:pPr>
        <w:jc w:val="center"/>
        <w:rPr>
          <w:rFonts w:ascii="方正大标宋简体" w:eastAsia="方正大标宋简体" w:hAnsi="Dotum" w:cs="Dotum"/>
          <w:b/>
          <w:sz w:val="38"/>
          <w:szCs w:val="32"/>
        </w:rPr>
      </w:pPr>
      <w:r>
        <w:rPr>
          <w:rFonts w:ascii="方正大标宋简体" w:eastAsia="方正大标宋简体" w:hAnsi="Dotum" w:cs="Dotum" w:hint="eastAsia"/>
          <w:b/>
          <w:sz w:val="38"/>
          <w:szCs w:val="32"/>
        </w:rPr>
        <w:t>华中师范大学</w:t>
      </w:r>
    </w:p>
    <w:p w14:paraId="074512FE">
      <w:pPr>
        <w:jc w:val="center"/>
        <w:rPr>
          <w:rFonts w:ascii="方正大标宋简体" w:eastAsia="方正大标宋简体" w:hAnsi="Dotum" w:cs="Dotum"/>
          <w:b/>
          <w:sz w:val="38"/>
          <w:szCs w:val="32"/>
        </w:rPr>
      </w:pPr>
      <w:r>
        <w:rPr>
          <w:rFonts w:ascii="方正大标宋简体" w:eastAsia="方正大标宋简体" w:hAnsi="Dotum" w:cs="Dotum" w:hint="eastAsia"/>
          <w:b/>
          <w:sz w:val="38"/>
          <w:szCs w:val="32"/>
        </w:rPr>
        <w:t>本科毕业论文（设计）开题报告表</w:t>
      </w:r>
    </w:p>
    <w:p w14:paraId="15E28314">
      <w:pPr>
        <w:rPr>
          <w:rFonts w:ascii="华文中宋" w:eastAsia="华文中宋" w:hAnsi="华文中宋"/>
          <w:b/>
          <w:sz w:val="32"/>
          <w:szCs w:val="32"/>
        </w:rPr>
      </w:pPr>
    </w:p>
    <w:p w14:paraId="4B0CE795">
      <w:pPr>
        <w:rPr>
          <w:rFonts w:ascii="仿宋_GB2312" w:eastAsia="仿宋_GB2312" w:hAnsi="宋体" w:cs="宋体"/>
          <w:sz w:val="28"/>
          <w:szCs w:val="28"/>
        </w:rPr>
      </w:pPr>
    </w:p>
    <w:p w14:paraId="5243204F">
      <w:pPr>
        <w:rPr>
          <w:rFonts w:ascii="华文中宋" w:eastAsia="华文中宋" w:hAnsi="华文中宋"/>
          <w:b/>
          <w:sz w:val="32"/>
          <w:szCs w:val="32"/>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659"/>
        <w:gridCol w:w="3621"/>
      </w:tblGrid>
      <w:tr w14:paraId="071B9FD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65"/>
          <w:jc w:val="center"/>
        </w:trPr>
        <w:tc>
          <w:tcPr>
            <w:tcW w:w="2659" w:type="dxa"/>
            <w:tcBorders>
              <w:top w:val="nil"/>
              <w:left w:val="nil"/>
              <w:bottom w:val="nil"/>
              <w:right w:val="nil"/>
            </w:tcBorders>
            <w:vAlign w:val="bottom"/>
          </w:tcPr>
          <w:p w14:paraId="2D5432B4">
            <w:pPr>
              <w:jc w:val="right"/>
              <w:rPr>
                <w:rFonts w:ascii="宋体" w:hAnsi="宋体"/>
                <w:sz w:val="32"/>
              </w:rPr>
            </w:pPr>
            <w:r>
              <w:rPr>
                <w:rFonts w:ascii="宋体" w:hAnsi="宋体" w:hint="eastAsia"/>
                <w:spacing w:val="93"/>
                <w:kern w:val="0"/>
                <w:sz w:val="28"/>
                <w:szCs w:val="28"/>
              </w:rPr>
              <w:t>学院名</w:t>
            </w:r>
            <w:r>
              <w:rPr>
                <w:rFonts w:ascii="宋体" w:hAnsi="宋体" w:hint="eastAsia"/>
                <w:spacing w:val="1"/>
                <w:kern w:val="0"/>
                <w:sz w:val="28"/>
                <w:szCs w:val="28"/>
              </w:rPr>
              <w:t>称</w:t>
            </w:r>
          </w:p>
        </w:tc>
        <w:tc>
          <w:tcPr>
            <w:tcW w:w="3621" w:type="dxa"/>
            <w:tcBorders>
              <w:top w:val="nil"/>
              <w:left w:val="nil"/>
              <w:bottom w:val="single" w:sz="4" w:space="0" w:color="auto"/>
              <w:right w:val="nil"/>
            </w:tcBorders>
            <w:vAlign w:val="bottom"/>
          </w:tcPr>
          <w:p w14:paraId="5953E6C5">
            <w:pPr>
              <w:jc w:val="center"/>
              <w:rPr>
                <w:rFonts w:ascii="Times New Roman" w:hAnsi="Times New Roman"/>
                <w:sz w:val="28"/>
              </w:rPr>
            </w:pPr>
            <w:r>
              <w:rPr>
                <w:rFonts w:ascii="Times New Roman" w:hAnsi="Times New Roman" w:hint="eastAsia"/>
                <w:sz w:val="28"/>
              </w:rPr>
              <w:t>经济与工商管理学院</w:t>
            </w:r>
          </w:p>
        </w:tc>
      </w:tr>
      <w:tr w14:paraId="4A60D422">
        <w:tblPrEx>
          <w:tblW w:w="0" w:type="auto"/>
          <w:jc w:val="center"/>
          <w:tblLayout w:type="fixed"/>
          <w:tblCellMar>
            <w:top w:w="0" w:type="dxa"/>
            <w:left w:w="108" w:type="dxa"/>
            <w:bottom w:w="0" w:type="dxa"/>
            <w:right w:w="108" w:type="dxa"/>
          </w:tblCellMar>
        </w:tblPrEx>
        <w:trPr>
          <w:trHeight w:val="765"/>
          <w:jc w:val="center"/>
        </w:trPr>
        <w:tc>
          <w:tcPr>
            <w:tcW w:w="2659" w:type="dxa"/>
            <w:tcBorders>
              <w:top w:val="nil"/>
              <w:left w:val="nil"/>
              <w:bottom w:val="nil"/>
              <w:right w:val="nil"/>
            </w:tcBorders>
            <w:vAlign w:val="bottom"/>
          </w:tcPr>
          <w:p w14:paraId="47CCEE29">
            <w:pPr>
              <w:jc w:val="right"/>
              <w:rPr>
                <w:rFonts w:ascii="宋体" w:hAnsi="宋体"/>
                <w:sz w:val="32"/>
              </w:rPr>
            </w:pPr>
            <w:r>
              <w:rPr>
                <w:rFonts w:ascii="宋体" w:hAnsi="宋体" w:hint="eastAsia"/>
                <w:spacing w:val="93"/>
                <w:kern w:val="0"/>
                <w:sz w:val="28"/>
                <w:szCs w:val="28"/>
              </w:rPr>
              <w:t>专业名</w:t>
            </w:r>
            <w:r>
              <w:rPr>
                <w:rFonts w:ascii="宋体" w:hAnsi="宋体" w:hint="eastAsia"/>
                <w:spacing w:val="1"/>
                <w:kern w:val="0"/>
                <w:sz w:val="28"/>
                <w:szCs w:val="28"/>
              </w:rPr>
              <w:t>称</w:t>
            </w:r>
          </w:p>
        </w:tc>
        <w:tc>
          <w:tcPr>
            <w:tcW w:w="3621" w:type="dxa"/>
            <w:tcBorders>
              <w:top w:val="single" w:sz="4" w:space="0" w:color="auto"/>
              <w:left w:val="nil"/>
              <w:bottom w:val="single" w:sz="4" w:space="0" w:color="auto"/>
              <w:right w:val="nil"/>
            </w:tcBorders>
            <w:vAlign w:val="bottom"/>
          </w:tcPr>
          <w:p w14:paraId="3F3FB6B2">
            <w:pPr>
              <w:jc w:val="center"/>
              <w:rPr>
                <w:rFonts w:ascii="Times New Roman" w:hAnsi="Times New Roman"/>
                <w:sz w:val="28"/>
              </w:rPr>
            </w:pPr>
            <w:r>
              <w:rPr>
                <w:rFonts w:ascii="Times New Roman" w:hAnsi="Times New Roman" w:hint="eastAsia"/>
                <w:sz w:val="28"/>
              </w:rPr>
              <w:t>金融工程_410</w:t>
            </w:r>
          </w:p>
        </w:tc>
      </w:tr>
      <w:tr w14:paraId="6B23C72D">
        <w:tblPrEx>
          <w:tblW w:w="0" w:type="auto"/>
          <w:jc w:val="center"/>
          <w:tblLayout w:type="fixed"/>
          <w:tblCellMar>
            <w:top w:w="0" w:type="dxa"/>
            <w:left w:w="108" w:type="dxa"/>
            <w:bottom w:w="0" w:type="dxa"/>
            <w:right w:w="108" w:type="dxa"/>
          </w:tblCellMar>
        </w:tblPrEx>
        <w:trPr>
          <w:trHeight w:val="765"/>
          <w:jc w:val="center"/>
        </w:trPr>
        <w:tc>
          <w:tcPr>
            <w:tcW w:w="2659" w:type="dxa"/>
            <w:tcBorders>
              <w:top w:val="nil"/>
              <w:left w:val="nil"/>
              <w:bottom w:val="nil"/>
              <w:right w:val="nil"/>
            </w:tcBorders>
            <w:vAlign w:val="bottom"/>
          </w:tcPr>
          <w:p w14:paraId="0BBB2023">
            <w:pPr>
              <w:jc w:val="right"/>
              <w:rPr>
                <w:rFonts w:ascii="宋体" w:hAnsi="宋体"/>
                <w:sz w:val="32"/>
              </w:rPr>
            </w:pPr>
            <w:r>
              <w:rPr>
                <w:rFonts w:ascii="宋体" w:hAnsi="宋体" w:hint="eastAsia"/>
                <w:spacing w:val="45"/>
                <w:kern w:val="0"/>
                <w:sz w:val="28"/>
                <w:szCs w:val="28"/>
              </w:rPr>
              <w:t xml:space="preserve">年    </w:t>
            </w:r>
            <w:r>
              <w:rPr>
                <w:rFonts w:ascii="宋体" w:hAnsi="宋体" w:hint="eastAsia"/>
                <w:spacing w:val="60"/>
                <w:kern w:val="0"/>
                <w:sz w:val="28"/>
                <w:szCs w:val="28"/>
              </w:rPr>
              <w:t>级</w:t>
            </w:r>
          </w:p>
        </w:tc>
        <w:tc>
          <w:tcPr>
            <w:tcW w:w="3621" w:type="dxa"/>
            <w:tcBorders>
              <w:top w:val="single" w:sz="4" w:space="0" w:color="auto"/>
              <w:left w:val="nil"/>
              <w:bottom w:val="single" w:sz="4" w:space="0" w:color="auto"/>
              <w:right w:val="nil"/>
            </w:tcBorders>
            <w:vAlign w:val="bottom"/>
          </w:tcPr>
          <w:p w14:paraId="72AC683E">
            <w:pPr>
              <w:jc w:val="center"/>
              <w:rPr>
                <w:rFonts w:ascii="Times New Roman" w:eastAsia="宋体" w:hAnsi="Times New Roman" w:hint="eastAsia"/>
                <w:sz w:val="28"/>
                <w:lang w:val="en-US" w:eastAsia="zh-CN"/>
              </w:rPr>
            </w:pPr>
            <w:r>
              <w:rPr>
                <w:rFonts w:ascii="Times New Roman" w:hAnsi="Times New Roman" w:hint="eastAsia"/>
                <w:sz w:val="28"/>
                <w:lang w:val="en-US" w:eastAsia="zh-CN"/>
              </w:rPr>
              <w:t>级</w:t>
            </w:r>
          </w:p>
        </w:tc>
      </w:tr>
      <w:tr w14:paraId="55FD2B34">
        <w:tblPrEx>
          <w:tblW w:w="0" w:type="auto"/>
          <w:jc w:val="center"/>
          <w:tblLayout w:type="fixed"/>
          <w:tblCellMar>
            <w:top w:w="0" w:type="dxa"/>
            <w:left w:w="108" w:type="dxa"/>
            <w:bottom w:w="0" w:type="dxa"/>
            <w:right w:w="108" w:type="dxa"/>
          </w:tblCellMar>
        </w:tblPrEx>
        <w:trPr>
          <w:trHeight w:val="765"/>
          <w:jc w:val="center"/>
        </w:trPr>
        <w:tc>
          <w:tcPr>
            <w:tcW w:w="2659" w:type="dxa"/>
            <w:tcBorders>
              <w:top w:val="nil"/>
              <w:left w:val="nil"/>
              <w:bottom w:val="nil"/>
              <w:right w:val="nil"/>
            </w:tcBorders>
            <w:vAlign w:val="bottom"/>
          </w:tcPr>
          <w:p w14:paraId="51288F08">
            <w:pPr>
              <w:jc w:val="right"/>
              <w:rPr>
                <w:rFonts w:ascii="宋体" w:hAnsi="宋体"/>
                <w:sz w:val="32"/>
              </w:rPr>
            </w:pPr>
            <w:r>
              <w:rPr>
                <w:rFonts w:ascii="宋体" w:hAnsi="宋体" w:hint="eastAsia"/>
                <w:spacing w:val="93"/>
                <w:kern w:val="0"/>
                <w:sz w:val="28"/>
                <w:szCs w:val="28"/>
              </w:rPr>
              <w:t>学生姓</w:t>
            </w:r>
            <w:r>
              <w:rPr>
                <w:rFonts w:ascii="宋体" w:hAnsi="宋体" w:hint="eastAsia"/>
                <w:spacing w:val="1"/>
                <w:kern w:val="0"/>
                <w:sz w:val="28"/>
                <w:szCs w:val="28"/>
              </w:rPr>
              <w:t>名</w:t>
            </w:r>
          </w:p>
        </w:tc>
        <w:tc>
          <w:tcPr>
            <w:tcW w:w="3621" w:type="dxa"/>
            <w:tcBorders>
              <w:top w:val="single" w:sz="4" w:space="0" w:color="auto"/>
              <w:left w:val="nil"/>
              <w:bottom w:val="single" w:sz="4" w:space="0" w:color="auto"/>
              <w:right w:val="nil"/>
            </w:tcBorders>
            <w:vAlign w:val="bottom"/>
          </w:tcPr>
          <w:p w14:paraId="43253DC8">
            <w:pPr>
              <w:jc w:val="center"/>
              <w:rPr>
                <w:rFonts w:ascii="Times New Roman" w:hAnsi="Times New Roman"/>
                <w:sz w:val="28"/>
              </w:rPr>
            </w:pPr>
            <w:r>
              <w:rPr>
                <w:rFonts w:ascii="Times New Roman" w:hAnsi="Times New Roman" w:hint="eastAsia"/>
                <w:sz w:val="28"/>
              </w:rPr>
              <w:t>罗佳菲</w:t>
            </w:r>
          </w:p>
        </w:tc>
      </w:tr>
      <w:tr w14:paraId="78551D33">
        <w:tblPrEx>
          <w:tblW w:w="0" w:type="auto"/>
          <w:jc w:val="center"/>
          <w:tblLayout w:type="fixed"/>
          <w:tblCellMar>
            <w:top w:w="0" w:type="dxa"/>
            <w:left w:w="108" w:type="dxa"/>
            <w:bottom w:w="0" w:type="dxa"/>
            <w:right w:w="108" w:type="dxa"/>
          </w:tblCellMar>
        </w:tblPrEx>
        <w:trPr>
          <w:trHeight w:val="765"/>
          <w:jc w:val="center"/>
        </w:trPr>
        <w:tc>
          <w:tcPr>
            <w:tcW w:w="2659" w:type="dxa"/>
            <w:tcBorders>
              <w:top w:val="nil"/>
              <w:left w:val="nil"/>
              <w:bottom w:val="nil"/>
              <w:right w:val="nil"/>
            </w:tcBorders>
            <w:vAlign w:val="bottom"/>
          </w:tcPr>
          <w:p w14:paraId="3016DC3A">
            <w:pPr>
              <w:jc w:val="right"/>
              <w:rPr>
                <w:rFonts w:ascii="宋体" w:hAnsi="宋体" w:hint="eastAsia"/>
                <w:spacing w:val="60"/>
                <w:kern w:val="0"/>
                <w:sz w:val="28"/>
                <w:szCs w:val="28"/>
              </w:rPr>
            </w:pPr>
            <w:r>
              <w:rPr>
                <w:rFonts w:ascii="宋体" w:hAnsi="宋体" w:hint="eastAsia"/>
                <w:spacing w:val="45"/>
                <w:kern w:val="0"/>
                <w:sz w:val="28"/>
                <w:szCs w:val="28"/>
              </w:rPr>
              <w:t xml:space="preserve">学    </w:t>
            </w:r>
            <w:r>
              <w:rPr>
                <w:rFonts w:ascii="宋体" w:hAnsi="宋体" w:hint="eastAsia"/>
                <w:spacing w:val="60"/>
                <w:kern w:val="0"/>
                <w:sz w:val="28"/>
                <w:szCs w:val="28"/>
              </w:rPr>
              <w:t>号</w:t>
            </w:r>
          </w:p>
        </w:tc>
        <w:tc>
          <w:tcPr>
            <w:tcW w:w="3621" w:type="dxa"/>
            <w:tcBorders>
              <w:top w:val="single" w:sz="4" w:space="0" w:color="auto"/>
              <w:left w:val="nil"/>
              <w:bottom w:val="single" w:sz="4" w:space="0" w:color="auto"/>
              <w:right w:val="nil"/>
            </w:tcBorders>
            <w:vAlign w:val="bottom"/>
          </w:tcPr>
          <w:p w14:paraId="6D34D32F">
            <w:pPr>
              <w:jc w:val="center"/>
              <w:rPr>
                <w:rFonts w:ascii="Times New Roman" w:hAnsi="Times New Roman"/>
                <w:sz w:val="28"/>
              </w:rPr>
            </w:pPr>
            <w:r>
              <w:rPr>
                <w:rFonts w:ascii="Times New Roman" w:hAnsi="Times New Roman" w:hint="eastAsia"/>
                <w:sz w:val="28"/>
              </w:rPr>
              <w:t>2022212143</w:t>
            </w:r>
          </w:p>
        </w:tc>
      </w:tr>
      <w:tr w14:paraId="1DD1DC18">
        <w:tblPrEx>
          <w:tblW w:w="0" w:type="auto"/>
          <w:jc w:val="center"/>
          <w:tblLayout w:type="fixed"/>
          <w:tblCellMar>
            <w:top w:w="0" w:type="dxa"/>
            <w:left w:w="108" w:type="dxa"/>
            <w:bottom w:w="0" w:type="dxa"/>
            <w:right w:w="108" w:type="dxa"/>
          </w:tblCellMar>
        </w:tblPrEx>
        <w:trPr>
          <w:trHeight w:val="765"/>
          <w:jc w:val="center"/>
        </w:trPr>
        <w:tc>
          <w:tcPr>
            <w:tcW w:w="2659" w:type="dxa"/>
            <w:tcBorders>
              <w:top w:val="nil"/>
              <w:left w:val="nil"/>
              <w:bottom w:val="nil"/>
              <w:right w:val="nil"/>
            </w:tcBorders>
            <w:vAlign w:val="bottom"/>
          </w:tcPr>
          <w:p w14:paraId="28DB173E">
            <w:pPr>
              <w:jc w:val="right"/>
              <w:rPr>
                <w:rFonts w:ascii="宋体" w:hAnsi="宋体"/>
                <w:sz w:val="32"/>
              </w:rPr>
            </w:pPr>
            <w:r>
              <w:rPr>
                <w:rFonts w:ascii="宋体" w:hAnsi="宋体" w:hint="eastAsia"/>
                <w:kern w:val="0"/>
                <w:sz w:val="28"/>
              </w:rPr>
              <w:t>指导教师姓名</w:t>
            </w:r>
          </w:p>
        </w:tc>
        <w:tc>
          <w:tcPr>
            <w:tcW w:w="3621" w:type="dxa"/>
            <w:tcBorders>
              <w:top w:val="nil"/>
              <w:left w:val="nil"/>
              <w:bottom w:val="single" w:sz="4" w:space="0" w:color="auto"/>
              <w:right w:val="nil"/>
            </w:tcBorders>
            <w:vAlign w:val="bottom"/>
          </w:tcPr>
          <w:p w14:paraId="679602DB">
            <w:pPr>
              <w:jc w:val="center"/>
              <w:rPr>
                <w:rFonts w:ascii="Times New Roman" w:hAnsi="Times New Roman"/>
                <w:sz w:val="28"/>
              </w:rPr>
            </w:pPr>
            <w:r>
              <w:rPr>
                <w:rFonts w:ascii="Times New Roman" w:hAnsi="Times New Roman" w:hint="eastAsia"/>
                <w:sz w:val="28"/>
              </w:rPr>
              <w:t>李好</w:t>
            </w:r>
          </w:p>
        </w:tc>
      </w:tr>
      <w:tr w14:paraId="0B6E2428">
        <w:tblPrEx>
          <w:tblW w:w="0" w:type="auto"/>
          <w:jc w:val="center"/>
          <w:tblLayout w:type="fixed"/>
          <w:tblCellMar>
            <w:top w:w="0" w:type="dxa"/>
            <w:left w:w="108" w:type="dxa"/>
            <w:bottom w:w="0" w:type="dxa"/>
            <w:right w:w="108" w:type="dxa"/>
          </w:tblCellMar>
        </w:tblPrEx>
        <w:trPr>
          <w:trHeight w:val="808"/>
          <w:jc w:val="center"/>
        </w:trPr>
        <w:tc>
          <w:tcPr>
            <w:tcW w:w="2659" w:type="dxa"/>
            <w:tcBorders>
              <w:top w:val="nil"/>
              <w:left w:val="nil"/>
              <w:bottom w:val="nil"/>
              <w:right w:val="nil"/>
            </w:tcBorders>
            <w:vAlign w:val="bottom"/>
          </w:tcPr>
          <w:p w14:paraId="7DB7636A">
            <w:pPr>
              <w:jc w:val="right"/>
              <w:rPr>
                <w:rFonts w:ascii="宋体" w:hAnsi="宋体"/>
                <w:b/>
                <w:sz w:val="32"/>
                <w:szCs w:val="32"/>
              </w:rPr>
            </w:pPr>
            <w:r>
              <w:rPr>
                <w:rFonts w:ascii="宋体" w:hAnsi="宋体" w:hint="eastAsia"/>
                <w:kern w:val="0"/>
                <w:sz w:val="28"/>
              </w:rPr>
              <w:t>论文选题类型</w:t>
            </w:r>
          </w:p>
        </w:tc>
        <w:tc>
          <w:tcPr>
            <w:tcW w:w="3621" w:type="dxa"/>
            <w:tcBorders>
              <w:top w:val="single" w:sz="4" w:space="0" w:color="auto"/>
              <w:left w:val="nil"/>
              <w:bottom w:val="single" w:sz="4" w:space="0" w:color="auto"/>
              <w:right w:val="nil"/>
            </w:tcBorders>
            <w:vAlign w:val="bottom"/>
          </w:tcPr>
          <w:p w14:paraId="4F26ACF3">
            <w:pPr>
              <w:jc w:val="center"/>
              <w:rPr>
                <w:rFonts w:ascii="Times New Roman" w:hAnsi="Times New Roman"/>
                <w:sz w:val="28"/>
              </w:rPr>
            </w:pPr>
            <w:r>
              <w:rPr>
                <w:rFonts w:ascii="Times New Roman" w:hAnsi="Times New Roman" w:hint="eastAsia"/>
                <w:sz w:val="28"/>
              </w:rPr>
              <w:t>非师范类应用研究</w:t>
            </w:r>
          </w:p>
        </w:tc>
      </w:tr>
    </w:tbl>
    <w:p w14:paraId="5964B2DE">
      <w:pPr>
        <w:rPr>
          <w:rFonts w:ascii="华文中宋" w:eastAsia="华文中宋" w:hAnsi="华文中宋"/>
          <w:b/>
          <w:sz w:val="32"/>
          <w:szCs w:val="32"/>
        </w:rPr>
      </w:pPr>
    </w:p>
    <w:p w14:paraId="5127AD0C">
      <w:pPr>
        <w:jc w:val="center"/>
        <w:rPr>
          <w:rFonts w:ascii="宋体" w:hAnsi="宋体"/>
          <w:sz w:val="28"/>
          <w:szCs w:val="28"/>
        </w:rPr>
      </w:pPr>
    </w:p>
    <w:p w14:paraId="7A6E81FD">
      <w:pPr>
        <w:jc w:val="center"/>
        <w:rPr>
          <w:rFonts w:ascii="宋体" w:hAnsi="宋体"/>
          <w:sz w:val="28"/>
          <w:szCs w:val="28"/>
        </w:rPr>
      </w:pPr>
    </w:p>
    <w:p w14:paraId="05143B4A">
      <w:pPr>
        <w:jc w:val="center"/>
        <w:rPr>
          <w:rFonts w:ascii="宋体" w:hAnsi="宋体" w:hint="eastAsia"/>
          <w:sz w:val="28"/>
          <w:szCs w:val="28"/>
          <w:lang w:val="en-US" w:eastAsia="zh-CN"/>
        </w:rPr>
      </w:pPr>
      <w:r>
        <w:rPr>
          <w:rFonts w:ascii="宋体" w:hAnsi="宋体" w:hint="eastAsia"/>
          <w:sz w:val="28"/>
          <w:szCs w:val="28"/>
        </w:rPr>
        <w:t>填表时间：</w:t>
      </w:r>
    </w:p>
    <w:p w14:paraId="71761021">
      <w:pPr>
        <w:jc w:val="center"/>
        <w:rPr>
          <w:rFonts w:ascii="宋体" w:hAnsi="宋体" w:hint="eastAsia"/>
          <w:sz w:val="28"/>
          <w:szCs w:val="28"/>
          <w:lang w:val="en-US" w:eastAsia="zh-CN"/>
        </w:rPr>
      </w:pPr>
    </w:p>
    <w:p w14:paraId="617E7896">
      <w:pPr>
        <w:jc w:val="center"/>
        <w:rPr>
          <w:rFonts w:ascii="宋体" w:hAnsi="宋体" w:hint="eastAsia"/>
          <w:sz w:val="28"/>
          <w:szCs w:val="28"/>
          <w:lang w:val="en-US" w:eastAsia="zh-CN"/>
        </w:rPr>
        <w:sectPr>
          <w:footerReference w:type="default" r:id="rId5"/>
          <w:pgSz w:w="11906" w:h="16838"/>
          <w:pgMar w:top="1701" w:right="1797" w:bottom="1440" w:left="1797" w:header="851" w:footer="992" w:gutter="0"/>
          <w:pgNumType w:start="1"/>
          <w:cols w:num="1" w:space="720"/>
          <w:docGrid w:type="lines" w:linePitch="312" w:charSpace="0"/>
        </w:sectPr>
      </w:pPr>
    </w:p>
    <w:p w14:paraId="70B01246">
      <w:pPr>
        <w:spacing w:line="480" w:lineRule="auto"/>
        <w:jc w:val="center"/>
        <w:rPr>
          <w:rFonts w:ascii="方正粗宋简体" w:eastAsia="方正粗宋简体" w:hAnsi="宋体"/>
          <w:sz w:val="32"/>
          <w:szCs w:val="30"/>
        </w:rPr>
      </w:pPr>
    </w:p>
    <w:p w14:paraId="554DB635">
      <w:pPr>
        <w:spacing w:line="480" w:lineRule="auto"/>
        <w:jc w:val="center"/>
        <w:rPr>
          <w:rFonts w:ascii="方正粗宋简体" w:eastAsia="方正粗宋简体" w:hAnsi="宋体"/>
          <w:b/>
          <w:bCs/>
          <w:sz w:val="32"/>
          <w:szCs w:val="30"/>
        </w:rPr>
      </w:pPr>
      <w:r>
        <w:rPr>
          <w:rFonts w:ascii="方正粗宋简体" w:eastAsia="方正粗宋简体" w:hAnsi="宋体" w:hint="eastAsia"/>
          <w:b/>
          <w:bCs/>
          <w:sz w:val="32"/>
          <w:szCs w:val="30"/>
        </w:rPr>
        <w:t>填 表 说 明</w:t>
      </w:r>
    </w:p>
    <w:p w14:paraId="2D35A7EB">
      <w:pPr>
        <w:spacing w:before="234" w:beforeLines="75" w:line="600" w:lineRule="exact"/>
        <w:ind w:firstLine="560" w:firstLineChars="200"/>
        <w:rPr>
          <w:rFonts w:ascii="仿宋_GB2312" w:eastAsia="仿宋_GB2312" w:hAnsi="宋体"/>
          <w:sz w:val="28"/>
        </w:rPr>
      </w:pPr>
      <w:r>
        <w:rPr>
          <w:rFonts w:ascii="仿宋_GB2312" w:eastAsia="仿宋_GB2312" w:hAnsi="宋体" w:hint="eastAsia"/>
          <w:sz w:val="28"/>
        </w:rPr>
        <w:t>1．本科生原则上应于第七学期结束之前完成毕业论文（设计）的选题和开题工作。</w:t>
      </w:r>
    </w:p>
    <w:p w14:paraId="49110686">
      <w:pPr>
        <w:spacing w:line="600" w:lineRule="exact"/>
        <w:ind w:firstLine="560" w:firstLineChars="200"/>
        <w:rPr>
          <w:rFonts w:ascii="仿宋_GB2312" w:eastAsia="仿宋_GB2312" w:hAnsi="宋体"/>
          <w:sz w:val="28"/>
        </w:rPr>
      </w:pPr>
      <w:r>
        <w:rPr>
          <w:rFonts w:ascii="仿宋_GB2312" w:eastAsia="仿宋_GB2312" w:hAnsi="宋体" w:hint="eastAsia"/>
          <w:sz w:val="28"/>
        </w:rPr>
        <w:t>2．本表由学生在开题报告经指导教师开题指导并修改后填写。指导教师在学生填写后，应在本表相应栏目里填写确认性意见。本表最后由学院盖章备案保存。</w:t>
      </w:r>
    </w:p>
    <w:p w14:paraId="60DE0A0B">
      <w:pPr>
        <w:spacing w:line="600" w:lineRule="exact"/>
        <w:ind w:firstLine="560" w:firstLineChars="200"/>
        <w:rPr>
          <w:rFonts w:ascii="仿宋_GB2312" w:eastAsia="仿宋_GB2312" w:hAnsi="宋体"/>
          <w:sz w:val="28"/>
        </w:rPr>
      </w:pPr>
      <w:r>
        <w:rPr>
          <w:rFonts w:ascii="仿宋_GB2312" w:eastAsia="仿宋_GB2312" w:hAnsi="宋体" w:hint="eastAsia"/>
          <w:sz w:val="28"/>
        </w:rPr>
        <w:t>3．学生应执行本表撰写毕业论文（设计），不得作实质性改变。学生须在所在学院规定的时间内完成毕业论文（设计）并参加答辩。</w:t>
      </w:r>
    </w:p>
    <w:p w14:paraId="62EEF801">
      <w:pPr>
        <w:spacing w:line="600" w:lineRule="exact"/>
        <w:ind w:firstLine="560" w:firstLineChars="200"/>
        <w:rPr>
          <w:rFonts w:ascii="仿宋_GB2312" w:eastAsia="仿宋_GB2312" w:hAnsi="宋体"/>
          <w:sz w:val="28"/>
        </w:rPr>
      </w:pPr>
      <w:r>
        <w:rPr>
          <w:rFonts w:ascii="仿宋_GB2312" w:eastAsia="仿宋_GB2312" w:hAnsi="宋体" w:hint="eastAsia"/>
          <w:sz w:val="28"/>
        </w:rPr>
        <w:t>4．毕业论文（设计）的具体要求请参阅《华中师范大学本科毕业论文（设计）工作规范（试行）《华中师范大学本科毕业论文（设计）写作与排版打印规范》和《关于修订毕业论文注释与参考文献著录格式的通知》。</w:t>
      </w:r>
    </w:p>
    <w:p w14:paraId="7C6D1059">
      <w:pPr>
        <w:spacing w:line="600" w:lineRule="exact"/>
        <w:ind w:firstLine="560" w:firstLineChars="200"/>
        <w:rPr>
          <w:rFonts w:ascii="仿宋_GB2312" w:eastAsia="仿宋_GB2312" w:hAnsi="宋体"/>
          <w:sz w:val="28"/>
          <w:szCs w:val="28"/>
        </w:rPr>
      </w:pPr>
      <w:r>
        <w:rPr>
          <w:rFonts w:ascii="仿宋_GB2312" w:eastAsia="仿宋_GB2312" w:hAnsi="宋体" w:hint="eastAsia"/>
          <w:sz w:val="28"/>
        </w:rPr>
        <w:t>5．</w:t>
      </w:r>
      <w:r>
        <w:rPr>
          <w:rFonts w:ascii="仿宋_GB2312" w:eastAsia="仿宋_GB2312" w:hAnsi="宋体" w:cs="宋体" w:hint="eastAsia"/>
          <w:sz w:val="28"/>
          <w:szCs w:val="28"/>
        </w:rPr>
        <w:t>论文选题类型</w:t>
      </w:r>
      <w:r>
        <w:rPr>
          <w:rFonts w:ascii="仿宋_GB2312" w:eastAsia="仿宋_GB2312" w:hAnsi="宋体" w:hint="eastAsia"/>
          <w:sz w:val="28"/>
          <w:szCs w:val="28"/>
        </w:rPr>
        <w:t>分为四类：师范类专业研究；师范类教育研究；非师范类基础研究；非师范类应用研究。</w:t>
      </w:r>
    </w:p>
    <w:p w14:paraId="1F13F023">
      <w:pPr>
        <w:spacing w:line="600" w:lineRule="exact"/>
        <w:ind w:firstLine="560" w:firstLineChars="200"/>
        <w:rPr>
          <w:rFonts w:ascii="仿宋_GB2312" w:eastAsia="仿宋_GB2312" w:hAnsi="宋体"/>
          <w:color w:val="FF0000"/>
          <w:sz w:val="28"/>
          <w:szCs w:val="28"/>
        </w:rPr>
      </w:pPr>
      <w:r>
        <w:rPr>
          <w:rFonts w:ascii="仿宋_GB2312" w:eastAsia="仿宋_GB2312" w:hAnsi="宋体" w:hint="eastAsia"/>
          <w:sz w:val="28"/>
          <w:szCs w:val="28"/>
        </w:rPr>
        <w:t>6. 毕业论文（设计）选题来自教师专业实践、科研课题的，以实验、实习、工程实践和社会调查等实践性工作为基础的毕业论文（设计）比例应≧50%；来自行业企业一线需要、实行校企“双导师”制的，以实验、实习、工程实践和社会调查等实践性工作为基础的毕业论文（设计）比例应≧50%。</w:t>
      </w:r>
    </w:p>
    <w:p w14:paraId="2F5E60C4">
      <w:pPr>
        <w:spacing w:line="600" w:lineRule="exact"/>
        <w:ind w:firstLine="560" w:firstLineChars="200"/>
        <w:rPr>
          <w:rFonts w:ascii="仿宋_GB2312" w:eastAsia="仿宋_GB2312" w:hAnsi="宋体" w:hint="eastAsia"/>
          <w:sz w:val="28"/>
        </w:rPr>
        <w:sectPr>
          <w:pgSz w:w="11906" w:h="16838"/>
          <w:pgMar w:top="1701" w:right="1797" w:bottom="1440" w:left="1797" w:header="851" w:footer="992" w:gutter="0"/>
          <w:pgNumType w:start="1"/>
          <w:cols w:num="1" w:space="720"/>
          <w:docGrid w:type="lines" w:linePitch="312" w:charSpace="0"/>
        </w:sectPr>
      </w:pPr>
      <w:r>
        <w:rPr>
          <w:rFonts w:ascii="仿宋_GB2312" w:eastAsia="仿宋_GB2312" w:hAnsi="宋体" w:hint="eastAsia"/>
          <w:sz w:val="28"/>
        </w:rPr>
        <w:t>7．本表由本科生院统一印制发放。学生可用蓝色或黑色水笔认真填写，做到填写整洁、正确。</w:t>
      </w:r>
    </w:p>
    <w:tbl>
      <w:tblPr>
        <w:tblStyle w:val="TableNormal"/>
        <w:tblW w:w="0" w:type="auto"/>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0" w:type="dxa"/>
          <w:left w:w="108" w:type="dxa"/>
          <w:bottom w:w="0" w:type="dxa"/>
          <w:right w:w="108" w:type="dxa"/>
        </w:tblCellMar>
      </w:tblPr>
      <w:tblGrid>
        <w:gridCol w:w="1087"/>
        <w:gridCol w:w="7441"/>
      </w:tblGrid>
      <w:tr w14:paraId="3900B553">
        <w:tblPrEx>
          <w:tblW w:w="0" w:type="auto"/>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0" w:type="dxa"/>
            <w:left w:w="108" w:type="dxa"/>
            <w:bottom w:w="0" w:type="dxa"/>
            <w:right w:w="108" w:type="dxa"/>
          </w:tblCellMar>
        </w:tblPrEx>
        <w:trPr>
          <w:trHeight w:val="590"/>
        </w:trPr>
        <w:tc>
          <w:tcPr>
            <w:tcW w:w="1087" w:type="dxa"/>
            <w:vAlign w:val="center"/>
          </w:tcPr>
          <w:p w14:paraId="0A7A8605">
            <w:pPr>
              <w:spacing w:line="480" w:lineRule="exact"/>
              <w:jc w:val="center"/>
              <w:rPr>
                <w:rFonts w:ascii="仿宋_GB2312" w:eastAsia="仿宋_GB2312" w:hAnsi="宋体"/>
                <w:sz w:val="28"/>
              </w:rPr>
            </w:pPr>
            <w:r>
              <w:rPr>
                <w:rFonts w:ascii="仿宋_GB2312" w:eastAsia="仿宋_GB2312" w:hAnsi="宋体" w:hint="eastAsia"/>
                <w:sz w:val="28"/>
              </w:rPr>
              <w:t>拟选</w:t>
            </w:r>
          </w:p>
          <w:p w14:paraId="306B3B3B">
            <w:pPr>
              <w:spacing w:line="480" w:lineRule="exact"/>
              <w:jc w:val="center"/>
              <w:rPr>
                <w:rFonts w:ascii="仿宋_GB2312" w:eastAsia="仿宋_GB2312" w:hAnsi="宋体"/>
                <w:sz w:val="24"/>
              </w:rPr>
            </w:pPr>
            <w:r>
              <w:rPr>
                <w:rFonts w:ascii="仿宋_GB2312" w:eastAsia="仿宋_GB2312" w:hAnsi="宋体" w:hint="eastAsia"/>
                <w:sz w:val="28"/>
              </w:rPr>
              <w:t>题目</w:t>
            </w:r>
          </w:p>
        </w:tc>
        <w:tc>
          <w:tcPr>
            <w:tcW w:w="7441" w:type="dxa"/>
            <w:vAlign w:val="center"/>
          </w:tcPr>
          <w:p w14:paraId="0876680A">
            <w:pPr>
              <w:spacing w:line="360" w:lineRule="auto"/>
              <w:jc w:val="center"/>
              <w:rPr>
                <w:rFonts w:ascii="仿宋_GB2312" w:eastAsia="仿宋_GB2312" w:hAnsi="宋体"/>
                <w:sz w:val="24"/>
              </w:rPr>
            </w:pPr>
            <w:r>
              <w:rPr>
                <w:rFonts w:ascii="Times New Roman" w:eastAsia="宋体" w:hAnsi="Times New Roman" w:cs="宋体" w:hint="eastAsia"/>
                <w:sz w:val="24"/>
              </w:rPr>
              <w:t>科创板做市商制度对科技企业定价效率的影响研究</w:t>
            </w:r>
          </w:p>
        </w:tc>
      </w:tr>
      <w:tr w14:paraId="614CEEEF">
        <w:tblPrEx>
          <w:tblW w:w="0" w:type="auto"/>
          <w:tblInd w:w="0" w:type="dxa"/>
          <w:tblLayout w:type="fixed"/>
          <w:tblCellMar>
            <w:top w:w="0" w:type="dxa"/>
            <w:left w:w="108" w:type="dxa"/>
            <w:bottom w:w="0" w:type="dxa"/>
            <w:right w:w="108" w:type="dxa"/>
          </w:tblCellMar>
        </w:tblPrEx>
        <w:trPr>
          <w:trHeight w:val="5472"/>
        </w:trPr>
        <w:tc>
          <w:tcPr>
            <w:tcW w:w="8528" w:type="dxa"/>
            <w:gridSpan w:val="2"/>
          </w:tcPr>
          <w:p w14:paraId="5F95C3EB">
            <w:pPr>
              <w:spacing w:before="62" w:beforeLines="20" w:line="360" w:lineRule="auto"/>
              <w:rPr>
                <w:rFonts w:ascii="仿宋_GB2312" w:eastAsia="仿宋_GB2312" w:hAnsi="宋体"/>
                <w:sz w:val="28"/>
              </w:rPr>
            </w:pPr>
            <w:r>
              <w:rPr>
                <w:rFonts w:ascii="仿宋_GB2312" w:eastAsia="仿宋_GB2312" w:hAnsi="宋体" w:hint="eastAsia"/>
                <w:sz w:val="28"/>
              </w:rPr>
              <w:t>选题依据及研究意义</w:t>
            </w:r>
          </w:p>
          <w:p w14:paraId="1A92C1DD">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中国资本市场深化改革与科创板的战略定位</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自2019年设立以来，上海证券交易所科创板（STAR Market）已成为中国资本市场服务于国家创新驱动发展战略的核心平台。它承载着支持拥有“硬科技”、符合国家战略、突破关键核心技术的科技创新企业的历史使命。在中国证监会的统一部署下，科创板于2022年10月31日正式引入做市商交易机制[3] 。做市商通过持续提供双边报价，为市场提供流动性，理论上能够有效降低买卖价差、平抑股价的非理性波动，从而促进价格向其内在价值收敛 。</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丰富做市商制度有效性</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传统的做市商理论多基于成熟市场（如纳斯达克）的研究，其在新兴转轨经济体中的有效性仍存在争议。一些研究甚至发现了“流动性悖论”，即做市商制度并未显著改善流动性，尤其对小市值公司不利 。本研究以中国科创板这一独特的制度环境为背景，检验做市商制度在以个人投资者为主、市场波动性较大、信息不对称问题更为突出的市场环境中的实际效果，能够为该理论提供来自中国的独特证据。</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深化对科技企业定价效率影响因素的理解</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现有关于定价效率的研究多集中于信息披露质量、分析师关注、公司治理等公司层面因素，或宏观经济、投资者情绪等市场层面因素。本研究从交易机制这一中观制度层面切入，探讨做市商如何通过提供流动性、传递信息、稳定价格等渠道影响科技企业的定价效率，有助于构建一个更完整的科技企业定价效率影响因素分析框架。</w:t>
            </w:r>
          </w:p>
          <w:p w14:paraId="086523C6">
            <w:pPr>
              <w:spacing w:line="360" w:lineRule="auto"/>
              <w:rPr>
                <w:rFonts w:ascii="仿宋_GB2312" w:eastAsia="仿宋_GB2312" w:hAnsi="宋体"/>
                <w:sz w:val="24"/>
              </w:rPr>
            </w:pPr>
          </w:p>
        </w:tc>
      </w:tr>
      <w:tr w14:paraId="178BAC29">
        <w:tblPrEx>
          <w:tblW w:w="0" w:type="auto"/>
          <w:tblInd w:w="0" w:type="dxa"/>
          <w:tblLayout w:type="fixed"/>
          <w:tblCellMar>
            <w:top w:w="0" w:type="dxa"/>
            <w:left w:w="108" w:type="dxa"/>
            <w:bottom w:w="0" w:type="dxa"/>
            <w:right w:w="108" w:type="dxa"/>
          </w:tblCellMar>
        </w:tblPrEx>
        <w:trPr>
          <w:trHeight w:val="6766"/>
        </w:trPr>
        <w:tc>
          <w:tcPr>
            <w:tcW w:w="8528" w:type="dxa"/>
            <w:gridSpan w:val="2"/>
          </w:tcPr>
          <w:p w14:paraId="1605400E">
            <w:pPr>
              <w:spacing w:before="62" w:beforeLines="20" w:line="360" w:lineRule="auto"/>
              <w:rPr>
                <w:rFonts w:ascii="仿宋_GB2312" w:eastAsia="仿宋_GB2312" w:hAnsi="宋体"/>
                <w:sz w:val="28"/>
              </w:rPr>
            </w:pPr>
            <w:r>
              <w:rPr>
                <w:rFonts w:ascii="仿宋_GB2312" w:eastAsia="仿宋_GB2312" w:hAnsi="宋体" w:hint="eastAsia"/>
                <w:sz w:val="28"/>
              </w:rPr>
              <w:t>选题的研究现状</w:t>
            </w:r>
          </w:p>
          <w:p w14:paraId="1011A411">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做市商制度与市场流动性的关系</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理论上，做市商作为流动性的专业提供者，通过库存管理和双边报价吸收临时订单失衡，进而降低买卖价差、增加市场深度，这是其核心功能之一。大量实证研究支持该观点，例如针对纳斯达克和中国科创板市场的研究发现，做市商一是不断提供买卖报价，向市场注入增量信息，降低投资者间的信息不对称；二是在市场短期波动较大时，逆向交易引导价格向内在价值回归，平抑股价波动；三是受到买卖价差上限和做市商评价机制的激励与约束，增强了投资者对做市交易的信心，提高了投资者关注度和交易意愿[8]。</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但研究结论并非完全一致，部分学者在新兴市场研究中发现，做市商制度的效果并非始终显著，甚至可能产生负面影响。尤为值得关注的是“流动性悖论”现象，即做市商制度对大市值股票的流动性改善效果优于小市值股票，反而可能对小市值股票流动性产生不利影响，这种差异源于做市商面对不同规模公司时，承担的信息不对称风险和库存风险存在差异[4]。</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做市商制度与价格发现及定价效率的关系研究</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价格发现是定价效率的核心体现，指市场价格有效、迅速反映所有可得信息的过程。做市商主要通过促进公共信息的纳入和减少噪音交易来实现价格发现。有限的证据表明，做市商增加了知情交易的强度。且更强的做市商研究能力与竞争能通过降低交易成本和信息不对称提升定价效率[2]。</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实证研究中，多数成果支持做市商制度对定价效率的促进作用。例如，有研究证实做市商数量增加与价格效率呈正相关[7]，做市商通过竞争性报价推动股价更快向均衡价值收敛，减少价格偏离基本面的程度与持续时间。竞争性做市商还可通过降低交易成本、提升信息处理能力提高股票定价效率[1]，进一步印证了做市商在信息发现与价格形成中的积极作用。</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同时，反向观点亦不可忽视。部分研究认为，做市商为弥补逆向选择等风险，可能在报价中注入噪声，或在信息不对称严重时扩大价差，反而阻碍价格发现[5]。此外，传统定价模型对高科技初创公司的适用性不足[6]，给做市商定价带来巨大挑战，也使得其对科技企业定价效率的贡献更具复杂性。</w:t>
            </w:r>
          </w:p>
          <w:p w14:paraId="0295CEFC">
            <w:pPr>
              <w:spacing w:line="360" w:lineRule="auto"/>
              <w:rPr>
                <w:rFonts w:ascii="仿宋_GB2312" w:eastAsia="仿宋_GB2312" w:hAnsi="宋体"/>
                <w:sz w:val="24"/>
              </w:rPr>
            </w:pPr>
          </w:p>
        </w:tc>
      </w:tr>
      <w:tr w14:paraId="0578D2EB">
        <w:tblPrEx>
          <w:tblW w:w="0" w:type="auto"/>
          <w:tblInd w:w="0" w:type="dxa"/>
          <w:tblLayout w:type="fixed"/>
          <w:tblCellMar>
            <w:top w:w="0" w:type="dxa"/>
            <w:left w:w="108" w:type="dxa"/>
            <w:bottom w:w="0" w:type="dxa"/>
            <w:right w:w="108" w:type="dxa"/>
          </w:tblCellMar>
        </w:tblPrEx>
        <w:trPr>
          <w:trHeight w:val="13107"/>
        </w:trPr>
        <w:tc>
          <w:tcPr>
            <w:tcW w:w="8528" w:type="dxa"/>
            <w:gridSpan w:val="2"/>
          </w:tcPr>
          <w:p w14:paraId="487214C1">
            <w:pPr>
              <w:spacing w:before="62" w:beforeLines="20" w:line="360" w:lineRule="auto"/>
              <w:rPr>
                <w:rFonts w:ascii="仿宋_GB2312" w:eastAsia="仿宋_GB2312" w:hAnsi="宋体"/>
                <w:sz w:val="28"/>
              </w:rPr>
            </w:pPr>
            <w:r>
              <w:rPr>
                <w:rFonts w:ascii="仿宋_GB2312" w:eastAsia="仿宋_GB2312" w:hAnsi="宋体" w:hint="eastAsia"/>
                <w:sz w:val="28"/>
              </w:rPr>
              <w:t>拟研究的主要内容和思路</w:t>
            </w:r>
          </w:p>
          <w:p w14:paraId="5972DB04">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本研究将围绕“科创板做市商制度如何影响科技企业定价效率”这一核心问题，从理论和实证两个层面展开。</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理论分析</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梳理市场微观结构理论中关于做市商功能的核心逻辑，结合科创板科技企业的特点，如高信息不对称、高估值不确定性等，构建科创板做市商制度影响科技企业定价效率的理论分析框架。从流动性提升、信息效率改善和投资者行为引导三个主要渠道，阐述做市商制度影响定价效率的传导机制。</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做市商制度对定价效率的总体效应检验</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以2022年10月31日科创板正式引入做市商制度为事件节点，构建双重差分模型（DID），将被纳入做市标的的科创板股票作为处理组，将未被纳入的、但特征相似的科创板股票或创业板科技股作为控制组。使用定价效率的代理变量，如股价同步性、价格延迟等，实证检验做市商制度对科技企业定价效率的平均因果效应。</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做市商制度影响的异质性效应分析</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考察制度效果是否因企业特征的不同而存在差异。将样本按照公司规模、技术创新强度‍、信息透明度‍、股权结构等维度进行分组，进行分组回归或引入交互项，检验做市商制度影响的异质性。这部分分析将回应文献中关于做市商制度可能存在的“规模歧视”等问题 。</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稳健性检验</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为确保研究结论的可靠性，将进行一系列严格的稳健性检验，包括：平行趋势检验、安慰剂检验（随机分配处理组、改变政策时间）、替换定价效率的衡量指标、替换控制组、排除其他同期政策干扰等。</w:t>
            </w:r>
          </w:p>
          <w:p w14:paraId="5C7A0195">
            <w:pPr>
              <w:spacing w:line="360" w:lineRule="auto"/>
              <w:rPr>
                <w:rFonts w:ascii="仿宋_GB2312" w:eastAsia="仿宋_GB2312" w:hAnsi="宋体"/>
                <w:sz w:val="24"/>
              </w:rPr>
            </w:pPr>
          </w:p>
        </w:tc>
      </w:tr>
      <w:tr w14:paraId="7831DBAB">
        <w:tblPrEx>
          <w:tblW w:w="0" w:type="auto"/>
          <w:tblInd w:w="0" w:type="dxa"/>
          <w:tblLayout w:type="fixed"/>
          <w:tblCellMar>
            <w:top w:w="0" w:type="dxa"/>
            <w:left w:w="108" w:type="dxa"/>
            <w:bottom w:w="0" w:type="dxa"/>
            <w:right w:w="108" w:type="dxa"/>
          </w:tblCellMar>
        </w:tblPrEx>
        <w:trPr>
          <w:trHeight w:val="4198"/>
        </w:trPr>
        <w:tc>
          <w:tcPr>
            <w:tcW w:w="8528" w:type="dxa"/>
            <w:gridSpan w:val="2"/>
          </w:tcPr>
          <w:p w14:paraId="05A50DC5">
            <w:pPr>
              <w:spacing w:line="360" w:lineRule="auto"/>
              <w:rPr>
                <w:rFonts w:ascii="仿宋_GB2312" w:eastAsia="仿宋_GB2312" w:hAnsi="宋体"/>
                <w:sz w:val="28"/>
              </w:rPr>
            </w:pPr>
            <w:r>
              <w:rPr>
                <w:rFonts w:ascii="仿宋_GB2312" w:eastAsia="仿宋_GB2312" w:hAnsi="宋体" w:hint="eastAsia"/>
                <w:sz w:val="28"/>
              </w:rPr>
              <w:t>研究的创新点及重、难点</w:t>
            </w:r>
          </w:p>
          <w:p w14:paraId="1149EDF7">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重点：理论分析框架与实证模型建构</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 构建一个适用于中国科创板情境的、解释做市商制度如何影响高科技企业定价效率的理论分析框架，深化对新兴市场交易机制与市场效率关系的理论认知。</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利用科创板做市商制度实施这一“准自然实验”，采用双重差分（DID）模型，系统性地检验该制度对科技企业定价效率的因果效应，并深入揭示其作用机制与异质性特征。</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创新点：聚焦科创板情境</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已有研究多基于成熟市场或像新三板这样的场外市场。科创板作为服务于国家战略的、以科技企业为主体的、实施注册制的全新场内板块，其投资者结构、信息环境和监管模式均具有独特性。将成熟市场的结论直接外推至科创板可能存在偏差 。因此，迫切需要基于科创板自身的制度环境和运行数据，对其做市商制度的有效性进行本土化的实证检验。</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难点：做市商制度异质性分析</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做市商制度影响存在异质性，即效果因公司特征、市场环境存在差异，其中公司规模是核心研究维度。研究表明，做市商更倾向为大市值公司提供优质服务，因其信息环境透明、交易活跃，做市商面临的风险更低，制度积极效应在大型股中更显著。</w:t>
            </w:r>
          </w:p>
          <w:p>
            <w:pPr>
              <w:spacing w:line="360" w:lineRule="auto"/>
              <w:ind w:firstLine="480" w:firstLineChars="200"/>
              <w:jc w:val="left"/>
              <w:rPr>
                <w:rFonts w:ascii="Times New Roman" w:eastAsia="宋体" w:hAnsi="Times New Roman" w:cs="Times New Roman" w:hint="eastAsia"/>
                <w:sz w:val="24"/>
              </w:rPr>
            </w:pPr>
            <w:r>
              <w:rPr>
                <w:rFonts w:ascii="Times New Roman" w:eastAsia="宋体" w:hAnsi="Times New Roman" w:cs="Times New Roman" w:hint="eastAsia"/>
                <w:sz w:val="24"/>
              </w:rPr>
              <w:t>对于科技型公司这一特定群体，其高不确定性、信息不透明性使做市商服务面临更大挑战，但这类公司恰恰最需要专业做市商挖掘价值、提供流动性。因此，做市商制度对科技公司的影响可能与传统行业存在显著差异，然而目前专门针对科技板块的深入实证研究仍相对匮乏，为本次研究留下了探索空间。</w:t>
            </w:r>
          </w:p>
          <w:p w14:paraId="44E96F24">
            <w:pPr>
              <w:spacing w:line="360" w:lineRule="auto"/>
              <w:rPr>
                <w:rFonts w:ascii="仿宋_GB2312" w:eastAsia="仿宋_GB2312" w:hAnsi="宋体"/>
                <w:sz w:val="28"/>
              </w:rPr>
            </w:pPr>
          </w:p>
        </w:tc>
      </w:tr>
      <w:tr w14:paraId="30D5F534">
        <w:tblPrEx>
          <w:tblW w:w="0" w:type="auto"/>
          <w:tblInd w:w="0" w:type="dxa"/>
          <w:tblLayout w:type="fixed"/>
          <w:tblCellMar>
            <w:top w:w="0" w:type="dxa"/>
            <w:left w:w="108" w:type="dxa"/>
            <w:bottom w:w="0" w:type="dxa"/>
            <w:right w:w="108" w:type="dxa"/>
          </w:tblCellMar>
        </w:tblPrEx>
        <w:trPr>
          <w:trHeight w:val="4535"/>
        </w:trPr>
        <w:tc>
          <w:tcPr>
            <w:tcW w:w="8528" w:type="dxa"/>
            <w:gridSpan w:val="2"/>
          </w:tcPr>
          <w:p w14:paraId="1233A3E3">
            <w:pPr>
              <w:spacing w:before="62" w:beforeLines="20" w:line="360" w:lineRule="auto"/>
              <w:rPr>
                <w:rFonts w:ascii="仿宋_GB2312" w:eastAsia="仿宋_GB2312" w:hAnsi="宋体"/>
                <w:sz w:val="28"/>
              </w:rPr>
            </w:pPr>
            <w:r>
              <w:rPr>
                <w:rFonts w:ascii="仿宋_GB2312" w:eastAsia="仿宋_GB2312" w:hAnsi="宋体" w:hint="eastAsia"/>
                <w:sz w:val="28"/>
              </w:rPr>
              <w:t>研究进程安排</w:t>
            </w:r>
          </w:p>
          <w:p w14:paraId="6B066DE0">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eastAsia"/>
                <w:sz w:val="24"/>
              </w:rPr>
            </w:pPr>
            <w:r>
              <w:rPr>
                <w:rFonts w:ascii="Times New Roman" w:eastAsia="宋体" w:hAnsi="Times New Roman" w:cs="Times New Roman" w:hint="eastAsia"/>
                <w:sz w:val="24"/>
              </w:rPr>
              <w:t>开题阶段：文献梳理与研究问题确立。</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eastAsia"/>
                <w:sz w:val="24"/>
              </w:rPr>
            </w:pPr>
            <w:r>
              <w:rPr>
                <w:rFonts w:ascii="Times New Roman" w:eastAsia="宋体" w:hAnsi="Times New Roman" w:cs="Times New Roman" w:hint="eastAsia"/>
                <w:sz w:val="24"/>
              </w:rPr>
              <w:t>数据收集与处理：收集科创板上市公司的财务数据、交易数据、股权结构数据，并进行数据清洗和匹配。</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eastAsia"/>
                <w:sz w:val="24"/>
              </w:rPr>
            </w:pPr>
            <w:r>
              <w:rPr>
                <w:rFonts w:ascii="Times New Roman" w:eastAsia="宋体" w:hAnsi="Times New Roman" w:cs="Times New Roman" w:hint="eastAsia"/>
                <w:sz w:val="24"/>
              </w:rPr>
              <w:t>实证分析：运用计量经济学模型，对研究问题进行实证检验，并进行稳健性检验。</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eastAsia"/>
                <w:sz w:val="24"/>
              </w:rPr>
            </w:pPr>
            <w:r>
              <w:rPr>
                <w:rFonts w:ascii="Times New Roman" w:eastAsia="宋体" w:hAnsi="Times New Roman" w:cs="Times New Roman" w:hint="eastAsia"/>
                <w:sz w:val="24"/>
              </w:rPr>
              <w:t>结果讨论与论文撰写：对实证结果进行深入分析和讨论，形成研究结论，并撰写论文初稿。</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eastAsia="宋体" w:hAnsi="Times New Roman" w:cs="Times New Roman" w:hint="eastAsia"/>
                <w:sz w:val="24"/>
              </w:rPr>
            </w:pPr>
            <w:r>
              <w:rPr>
                <w:rFonts w:ascii="Times New Roman" w:eastAsia="宋体" w:hAnsi="Times New Roman" w:cs="Times New Roman" w:hint="eastAsia"/>
                <w:sz w:val="24"/>
              </w:rPr>
              <w:t>论文修改与定稿：根据反馈意见对论文进行修改完善，最终定稿。</w:t>
            </w:r>
          </w:p>
          <w:p w14:paraId="0A4C1858">
            <w:pPr>
              <w:spacing w:line="360" w:lineRule="auto"/>
              <w:rPr>
                <w:rFonts w:ascii="仿宋_GB2312" w:eastAsia="仿宋_GB2312" w:hAnsi="宋体"/>
                <w:sz w:val="24"/>
              </w:rPr>
            </w:pPr>
          </w:p>
        </w:tc>
      </w:tr>
      <w:tr w14:paraId="37194385">
        <w:tblPrEx>
          <w:tblW w:w="0" w:type="auto"/>
          <w:tblInd w:w="0" w:type="dxa"/>
          <w:tblLayout w:type="fixed"/>
          <w:tblCellMar>
            <w:top w:w="0" w:type="dxa"/>
            <w:left w:w="108" w:type="dxa"/>
            <w:bottom w:w="0" w:type="dxa"/>
            <w:right w:w="108" w:type="dxa"/>
          </w:tblCellMar>
        </w:tblPrEx>
        <w:trPr>
          <w:trHeight w:val="4283"/>
        </w:trPr>
        <w:tc>
          <w:tcPr>
            <w:tcW w:w="8528" w:type="dxa"/>
            <w:gridSpan w:val="2"/>
          </w:tcPr>
          <w:p w14:paraId="5BB29FB0">
            <w:pPr>
              <w:spacing w:line="360" w:lineRule="auto"/>
              <w:jc w:val="left"/>
              <w:rPr>
                <w:rFonts w:ascii="仿宋_GB2312" w:eastAsia="仿宋_GB2312" w:hAnsi="宋体"/>
                <w:sz w:val="24"/>
              </w:rPr>
            </w:pPr>
            <w:r>
              <w:rPr>
                <w:rFonts w:ascii="仿宋_GB2312" w:eastAsia="仿宋_GB2312" w:hAnsi="宋体" w:hint="eastAsia"/>
                <w:sz w:val="24"/>
              </w:rPr>
              <w:t>(如论文科研工作期间涉及实验室安全，请填写此栏并填写《实验室安全分析报告》)</w:t>
            </w:r>
          </w:p>
          <w:p w14:paraId="3D2F4E41">
            <w:pPr>
              <w:spacing w:line="360" w:lineRule="auto"/>
              <w:jc w:val="left"/>
              <w:rPr>
                <w:rFonts w:ascii="仿宋_GB2312" w:eastAsia="仿宋_GB2312" w:hAnsi="宋体"/>
                <w:sz w:val="24"/>
              </w:rPr>
            </w:pPr>
            <w:r>
              <w:rPr>
                <w:rFonts w:ascii="仿宋_GB2312" w:eastAsia="仿宋_GB2312" w:hAnsi="宋体" w:hint="eastAsia"/>
                <w:sz w:val="24"/>
              </w:rPr>
              <w:t>论文工作中涉及的实验安全分析：</w:t>
            </w:r>
          </w:p>
          <w:p w14:paraId="0788958A">
            <w:pPr>
              <w:spacing w:line="360" w:lineRule="auto"/>
              <w:jc w:val="left"/>
              <w:rPr>
                <w:rFonts w:ascii="仿宋_GB2312" w:eastAsia="仿宋_GB2312" w:hAnsi="仿宋_GB2312" w:cs="仿宋_GB2312" w:hint="eastAsia"/>
                <w:sz w:val="24"/>
              </w:rPr>
            </w:pPr>
            <w:r>
              <w:rPr>
                <w:rFonts w:ascii="仿宋_GB2312" w:eastAsia="仿宋_GB2312" w:hAnsi="仿宋_GB2312" w:cs="仿宋_GB2312" w:hint="eastAsia"/>
                <w:sz w:val="24"/>
              </w:rPr>
              <w:t>（1）是否能够识别实验中的危险源并且提交了安全分析报告？</w:t>
            </w:r>
            <w:r>
              <w:rPr>
                <w:rFonts w:ascii="仿宋_GB2312" w:eastAsia="仿宋_GB2312" w:hAnsi="仿宋_GB2312" w:cs="仿宋_GB2312" w:hint="eastAsia"/>
                <w:sz w:val="24"/>
              </w:rPr>
              <w:t>是 ☐</w:t>
            </w:r>
            <w:r>
              <w:rPr>
                <w:rFonts w:ascii="仿宋_GB2312" w:eastAsia="仿宋_GB2312" w:hAnsi="仿宋_GB2312" w:cs="仿宋_GB2312" w:hint="eastAsia"/>
                <w:sz w:val="24"/>
              </w:rPr>
              <w:t>否 ☐</w:t>
            </w:r>
          </w:p>
          <w:p w14:paraId="464946AE">
            <w:pPr>
              <w:spacing w:line="360" w:lineRule="auto"/>
              <w:jc w:val="left"/>
              <w:rPr>
                <w:rFonts w:ascii="仿宋_GB2312" w:eastAsia="仿宋_GB2312" w:hAnsi="宋体"/>
                <w:sz w:val="24"/>
              </w:rPr>
            </w:pPr>
            <w:r>
              <w:rPr>
                <w:rFonts w:ascii="仿宋_GB2312" w:eastAsia="仿宋_GB2312" w:hAnsi="仿宋_GB2312" w:cs="仿宋_GB2312" w:hint="eastAsia"/>
                <w:sz w:val="24"/>
              </w:rPr>
              <w:t>（2）是否接受过相关实验安全教育培训？</w:t>
            </w:r>
            <w:r>
              <w:rPr>
                <w:rFonts w:ascii="仿宋_GB2312" w:eastAsia="仿宋_GB2312" w:hAnsi="仿宋_GB2312" w:cs="仿宋_GB2312" w:hint="eastAsia"/>
                <w:sz w:val="24"/>
              </w:rPr>
              <w:t>是 ☐</w:t>
            </w:r>
            <w:r>
              <w:rPr>
                <w:rFonts w:ascii="仿宋_GB2312" w:eastAsia="仿宋_GB2312" w:hAnsi="仿宋_GB2312" w:cs="仿宋_GB2312" w:hint="eastAsia"/>
                <w:sz w:val="24"/>
              </w:rPr>
              <w:t>否 ☐</w:t>
            </w:r>
          </w:p>
        </w:tc>
      </w:tr>
    </w:tbl>
    <w:p w14:paraId="67469DBB">
      <w:pPr>
        <w:jc w:val="center"/>
        <w:rPr>
          <w:rFonts w:ascii="方正大标宋简体" w:eastAsia="方正大标宋简体" w:hAnsi="方正大标宋简体" w:cs="方正大标宋简体"/>
          <w:sz w:val="32"/>
          <w:szCs w:val="28"/>
        </w:rPr>
      </w:pPr>
      <w:r>
        <w:rPr>
          <w:rFonts w:ascii="宋体" w:hAnsi="宋体"/>
        </w:rPr>
        <w:br w:type="page"/>
      </w:r>
      <w:r>
        <w:rPr>
          <w:rFonts w:ascii="方正大标宋简体" w:eastAsia="方正大标宋简体" w:hAnsi="方正大标宋简体" w:cs="方正大标宋简体" w:hint="eastAsia"/>
          <w:b/>
          <w:bCs/>
          <w:sz w:val="32"/>
          <w:szCs w:val="28"/>
        </w:rPr>
        <w:t>实验室安全分析报告</w:t>
      </w:r>
    </w:p>
    <w:tbl>
      <w:tblPr>
        <w:tblStyle w:val="TableNormal"/>
        <w:tblW w:w="0" w:type="auto"/>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0" w:type="dxa"/>
          <w:left w:w="108" w:type="dxa"/>
          <w:bottom w:w="0" w:type="dxa"/>
          <w:right w:w="108" w:type="dxa"/>
        </w:tblCellMar>
      </w:tblPr>
      <w:tblGrid>
        <w:gridCol w:w="3510"/>
        <w:gridCol w:w="1843"/>
        <w:gridCol w:w="1701"/>
        <w:gridCol w:w="1474"/>
      </w:tblGrid>
      <w:tr w14:paraId="345593B8">
        <w:tblPrEx>
          <w:tblW w:w="0" w:type="auto"/>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0" w:type="dxa"/>
            <w:left w:w="108" w:type="dxa"/>
            <w:bottom w:w="0" w:type="dxa"/>
            <w:right w:w="108" w:type="dxa"/>
          </w:tblCellMar>
        </w:tblPrEx>
        <w:trPr>
          <w:trHeight w:val="3402"/>
        </w:trPr>
        <w:tc>
          <w:tcPr>
            <w:tcW w:w="8528" w:type="dxa"/>
            <w:gridSpan w:val="4"/>
            <w:vAlign w:val="top"/>
          </w:tcPr>
          <w:p w14:paraId="7FC8F482">
            <w:pPr>
              <w:spacing w:line="360" w:lineRule="auto"/>
              <w:rPr>
                <w:rFonts w:ascii="仿宋_GB2312" w:eastAsia="仿宋_GB2312" w:hAnsi="宋体"/>
                <w:sz w:val="24"/>
              </w:rPr>
            </w:pPr>
            <w:r>
              <w:rPr>
                <w:rFonts w:ascii="仿宋_GB2312" w:eastAsia="仿宋_GB2312" w:hAnsi="宋体" w:hint="eastAsia"/>
                <w:sz w:val="24"/>
              </w:rPr>
              <w:t>实验过程（简要描述并附流程图）：</w:t>
            </w:r>
          </w:p>
          <w:p w14:paraId="692DD9F9">
            <w:pPr>
              <w:spacing w:line="360" w:lineRule="auto"/>
              <w:jc w:val="left"/>
              <w:rPr>
                <w:rFonts w:ascii="Times New Roman" w:eastAsia="宋体" w:hAnsi="Times New Roman" w:cs="宋体" w:hint="eastAsia"/>
                <w:sz w:val="24"/>
                <w:szCs w:val="24"/>
              </w:rPr>
            </w:pPr>
          </w:p>
          <w:p w14:paraId="21C4F3EB">
            <w:pPr>
              <w:spacing w:line="360" w:lineRule="auto"/>
              <w:rPr>
                <w:rFonts w:ascii="仿宋_GB2312" w:eastAsia="仿宋_GB2312" w:hAnsi="宋体"/>
                <w:sz w:val="24"/>
              </w:rPr>
            </w:pPr>
          </w:p>
        </w:tc>
      </w:tr>
      <w:tr w14:paraId="41AFA2BE">
        <w:tblPrEx>
          <w:tblW w:w="0" w:type="auto"/>
          <w:tblInd w:w="0" w:type="dxa"/>
          <w:tblLayout w:type="fixed"/>
          <w:tblCellMar>
            <w:top w:w="0" w:type="dxa"/>
            <w:left w:w="108" w:type="dxa"/>
            <w:bottom w:w="0" w:type="dxa"/>
            <w:right w:w="108" w:type="dxa"/>
          </w:tblCellMar>
        </w:tblPrEx>
        <w:trPr>
          <w:trHeight w:val="117"/>
        </w:trPr>
        <w:tc>
          <w:tcPr>
            <w:tcW w:w="8528" w:type="dxa"/>
            <w:gridSpan w:val="4"/>
          </w:tcPr>
          <w:p w14:paraId="558ADADB">
            <w:pPr>
              <w:spacing w:line="360" w:lineRule="auto"/>
              <w:rPr>
                <w:rFonts w:ascii="仿宋_GB2312" w:eastAsia="仿宋_GB2312" w:hAnsi="宋体"/>
                <w:sz w:val="24"/>
              </w:rPr>
            </w:pPr>
            <w:r>
              <w:rPr>
                <w:rFonts w:ascii="仿宋_GB2312" w:eastAsia="仿宋_GB2312" w:hAnsi="宋体" w:hint="eastAsia"/>
                <w:sz w:val="24"/>
              </w:rPr>
              <w:t>实验过程的风险分析：</w:t>
            </w:r>
          </w:p>
        </w:tc>
      </w:tr>
      <w:tr w14:paraId="18C6814B">
        <w:tblPrEx>
          <w:tblW w:w="0" w:type="auto"/>
          <w:tblInd w:w="0" w:type="dxa"/>
          <w:tblLayout w:type="fixed"/>
          <w:tblCellMar>
            <w:top w:w="0" w:type="dxa"/>
            <w:left w:w="108" w:type="dxa"/>
            <w:bottom w:w="0" w:type="dxa"/>
            <w:right w:w="108" w:type="dxa"/>
          </w:tblCellMar>
        </w:tblPrEx>
        <w:trPr>
          <w:trHeight w:val="117"/>
        </w:trPr>
        <w:tc>
          <w:tcPr>
            <w:tcW w:w="3510" w:type="dxa"/>
            <w:vAlign w:val="center"/>
          </w:tcPr>
          <w:p w14:paraId="0983EAF4">
            <w:pPr>
              <w:spacing w:line="360" w:lineRule="auto"/>
              <w:jc w:val="center"/>
              <w:rPr>
                <w:rFonts w:ascii="仿宋_GB2312" w:eastAsia="仿宋_GB2312" w:hAnsi="宋体"/>
                <w:sz w:val="24"/>
              </w:rPr>
            </w:pPr>
            <w:r>
              <w:rPr>
                <w:rFonts w:ascii="仿宋_GB2312" w:eastAsia="仿宋_GB2312" w:hAnsi="宋体" w:hint="eastAsia"/>
                <w:b/>
                <w:bCs/>
                <w:sz w:val="24"/>
              </w:rPr>
              <w:t>简要实验步骤</w:t>
            </w:r>
          </w:p>
        </w:tc>
        <w:tc>
          <w:tcPr>
            <w:tcW w:w="1843" w:type="dxa"/>
            <w:vAlign w:val="center"/>
          </w:tcPr>
          <w:p w14:paraId="745D63CF">
            <w:pPr>
              <w:spacing w:line="240" w:lineRule="exact"/>
              <w:jc w:val="center"/>
              <w:rPr>
                <w:rFonts w:ascii="仿宋_GB2312" w:eastAsia="仿宋_GB2312" w:hAnsi="宋体"/>
                <w:sz w:val="22"/>
                <w:szCs w:val="22"/>
              </w:rPr>
            </w:pPr>
            <w:r>
              <w:rPr>
                <w:rFonts w:ascii="仿宋_GB2312" w:eastAsia="仿宋_GB2312" w:hAnsi="宋体" w:hint="eastAsia"/>
                <w:sz w:val="22"/>
                <w:szCs w:val="22"/>
              </w:rPr>
              <w:t>危险源</w:t>
            </w:r>
          </w:p>
        </w:tc>
        <w:tc>
          <w:tcPr>
            <w:tcW w:w="1701" w:type="dxa"/>
            <w:vAlign w:val="center"/>
          </w:tcPr>
          <w:p w14:paraId="5913D0B1">
            <w:pPr>
              <w:spacing w:line="240" w:lineRule="exact"/>
              <w:jc w:val="center"/>
              <w:rPr>
                <w:rFonts w:ascii="仿宋_GB2312" w:eastAsia="仿宋_GB2312" w:hAnsi="宋体"/>
                <w:sz w:val="22"/>
                <w:szCs w:val="22"/>
              </w:rPr>
            </w:pPr>
            <w:r>
              <w:rPr>
                <w:rFonts w:ascii="仿宋_GB2312" w:eastAsia="仿宋_GB2312" w:hAnsi="宋体" w:hint="eastAsia"/>
                <w:sz w:val="22"/>
                <w:szCs w:val="22"/>
              </w:rPr>
              <w:t>风险分析</w:t>
            </w:r>
          </w:p>
        </w:tc>
        <w:tc>
          <w:tcPr>
            <w:tcW w:w="1474" w:type="dxa"/>
            <w:vAlign w:val="center"/>
          </w:tcPr>
          <w:p w14:paraId="5F6E0764">
            <w:pPr>
              <w:spacing w:line="360" w:lineRule="auto"/>
              <w:jc w:val="center"/>
              <w:rPr>
                <w:rFonts w:ascii="仿宋_GB2312" w:eastAsia="仿宋_GB2312" w:hAnsi="宋体"/>
                <w:sz w:val="24"/>
              </w:rPr>
            </w:pPr>
            <w:r>
              <w:rPr>
                <w:rFonts w:ascii="仿宋_GB2312" w:eastAsia="仿宋_GB2312" w:hAnsi="宋体" w:hint="eastAsia"/>
                <w:sz w:val="24"/>
              </w:rPr>
              <w:t>防护措施</w:t>
            </w:r>
          </w:p>
        </w:tc>
      </w:tr>
      <w:tr w14:paraId="6D29D40B">
        <w:tblPrEx>
          <w:tblW w:w="0" w:type="auto"/>
          <w:tblInd w:w="0" w:type="dxa"/>
          <w:tblLayout w:type="fixed"/>
          <w:tblCellMar>
            <w:top w:w="0" w:type="dxa"/>
            <w:left w:w="108" w:type="dxa"/>
            <w:bottom w:w="0" w:type="dxa"/>
            <w:right w:w="108" w:type="dxa"/>
          </w:tblCellMar>
        </w:tblPrEx>
        <w:trPr>
          <w:trHeight w:val="2551"/>
        </w:trPr>
        <w:tc>
          <w:tcPr>
            <w:tcW w:w="3510" w:type="dxa"/>
            <w:vAlign w:val="center"/>
          </w:tcPr>
          <w:p w14:paraId="5524E906">
            <w:pPr>
              <w:spacing w:line="360" w:lineRule="auto"/>
              <w:jc w:val="center"/>
              <w:rPr>
                <w:rFonts w:ascii="Times New Roman" w:eastAsia="宋体" w:hAnsi="Times New Roman" w:cs="宋体" w:hint="eastAsia"/>
                <w:sz w:val="24"/>
                <w:szCs w:val="24"/>
              </w:rPr>
            </w:pPr>
          </w:p>
        </w:tc>
        <w:tc>
          <w:tcPr>
            <w:tcW w:w="1843" w:type="dxa"/>
            <w:vAlign w:val="center"/>
          </w:tcPr>
          <w:p w14:paraId="525B9B7C">
            <w:pPr>
              <w:spacing w:line="360" w:lineRule="auto"/>
              <w:jc w:val="center"/>
              <w:rPr>
                <w:rFonts w:ascii="Times New Roman" w:eastAsia="宋体" w:hAnsi="Times New Roman" w:cs="宋体" w:hint="eastAsia"/>
                <w:sz w:val="24"/>
                <w:szCs w:val="24"/>
              </w:rPr>
            </w:pPr>
          </w:p>
        </w:tc>
        <w:tc>
          <w:tcPr>
            <w:tcW w:w="1701" w:type="dxa"/>
            <w:vAlign w:val="center"/>
          </w:tcPr>
          <w:p w14:paraId="02C07962">
            <w:pPr>
              <w:spacing w:line="360" w:lineRule="auto"/>
              <w:jc w:val="center"/>
              <w:rPr>
                <w:rFonts w:ascii="Times New Roman" w:eastAsia="宋体" w:hAnsi="Times New Roman" w:cs="宋体" w:hint="eastAsia"/>
                <w:sz w:val="24"/>
                <w:szCs w:val="24"/>
              </w:rPr>
            </w:pPr>
          </w:p>
        </w:tc>
        <w:tc>
          <w:tcPr>
            <w:tcW w:w="1474" w:type="dxa"/>
            <w:vAlign w:val="center"/>
          </w:tcPr>
          <w:p w14:paraId="0E166585">
            <w:pPr>
              <w:spacing w:line="360" w:lineRule="auto"/>
              <w:jc w:val="center"/>
              <w:rPr>
                <w:rFonts w:ascii="Times New Roman" w:eastAsia="宋体" w:hAnsi="Times New Roman" w:cs="宋体" w:hint="eastAsia"/>
                <w:sz w:val="24"/>
                <w:szCs w:val="24"/>
              </w:rPr>
            </w:pPr>
          </w:p>
        </w:tc>
      </w:tr>
      <w:tr w14:paraId="691C8F16">
        <w:tblPrEx>
          <w:tblW w:w="0" w:type="auto"/>
          <w:tblInd w:w="0" w:type="dxa"/>
          <w:tblLayout w:type="fixed"/>
          <w:tblCellMar>
            <w:top w:w="0" w:type="dxa"/>
            <w:left w:w="108" w:type="dxa"/>
            <w:bottom w:w="0" w:type="dxa"/>
            <w:right w:w="108" w:type="dxa"/>
          </w:tblCellMar>
        </w:tblPrEx>
        <w:trPr>
          <w:trHeight w:val="117"/>
        </w:trPr>
        <w:tc>
          <w:tcPr>
            <w:tcW w:w="8528" w:type="dxa"/>
            <w:gridSpan w:val="4"/>
          </w:tcPr>
          <w:p w14:paraId="1532719C">
            <w:pPr>
              <w:spacing w:line="360" w:lineRule="auto"/>
              <w:jc w:val="left"/>
              <w:rPr>
                <w:rFonts w:ascii="仿宋_GB2312" w:eastAsia="仿宋_GB2312" w:hAnsi="宋体"/>
                <w:sz w:val="24"/>
              </w:rPr>
            </w:pPr>
            <w:r>
              <w:rPr>
                <w:rFonts w:ascii="仿宋_GB2312" w:eastAsia="仿宋_GB2312" w:hAnsi="宋体" w:hint="eastAsia"/>
                <w:sz w:val="24"/>
              </w:rPr>
              <w:t>实验过程中是否有爆炸和火灾危险？</w:t>
            </w:r>
            <w:r>
              <w:rPr>
                <w:rFonts w:ascii="仿宋_GB2312" w:eastAsia="仿宋_GB2312" w:hAnsi="仿宋_GB2312" w:cs="仿宋_GB2312" w:hint="eastAsia"/>
                <w:sz w:val="24"/>
                <w:szCs w:val="24"/>
              </w:rPr>
              <w:t xml:space="preserve"> </w:t>
            </w:r>
            <w:r>
              <w:rPr>
                <w:rFonts w:ascii="仿宋_GB2312" w:eastAsia="仿宋_GB2312" w:hAnsi="仿宋_GB2312" w:cs="仿宋_GB2312" w:hint="eastAsia"/>
                <w:sz w:val="24"/>
                <w:szCs w:val="24"/>
              </w:rPr>
              <w:t>是 ☐</w:t>
            </w:r>
            <w:r>
              <w:rPr>
                <w:rFonts w:ascii="仿宋_GB2312" w:eastAsia="仿宋_GB2312" w:hAnsi="仿宋_GB2312" w:cs="仿宋_GB2312" w:hint="eastAsia"/>
                <w:sz w:val="24"/>
                <w:szCs w:val="24"/>
                <w:lang w:val="en-US" w:eastAsia="zh-CN"/>
              </w:rPr>
              <w:t xml:space="preserve">   </w:t>
            </w:r>
            <w:r>
              <w:rPr>
                <w:rFonts w:ascii="仿宋_GB2312" w:eastAsia="仿宋_GB2312" w:hAnsi="仿宋_GB2312" w:cs="仿宋_GB2312" w:hint="eastAsia"/>
                <w:sz w:val="24"/>
                <w:szCs w:val="24"/>
              </w:rPr>
              <w:t>否 ☐</w:t>
            </w:r>
          </w:p>
        </w:tc>
      </w:tr>
      <w:tr w14:paraId="093D14E6">
        <w:tblPrEx>
          <w:tblW w:w="0" w:type="auto"/>
          <w:tblInd w:w="0" w:type="dxa"/>
          <w:tblLayout w:type="fixed"/>
          <w:tblCellMar>
            <w:top w:w="0" w:type="dxa"/>
            <w:left w:w="108" w:type="dxa"/>
            <w:bottom w:w="0" w:type="dxa"/>
            <w:right w:w="108" w:type="dxa"/>
          </w:tblCellMar>
        </w:tblPrEx>
        <w:trPr>
          <w:trHeight w:val="117"/>
        </w:trPr>
        <w:tc>
          <w:tcPr>
            <w:tcW w:w="8528" w:type="dxa"/>
            <w:gridSpan w:val="4"/>
          </w:tcPr>
          <w:p w14:paraId="79D8FDAF">
            <w:pPr>
              <w:spacing w:line="360" w:lineRule="auto"/>
              <w:rPr>
                <w:rFonts w:ascii="仿宋_GB2312" w:eastAsia="仿宋_GB2312" w:hAnsi="宋体"/>
                <w:sz w:val="24"/>
              </w:rPr>
            </w:pPr>
            <w:r>
              <w:rPr>
                <w:rFonts w:ascii="仿宋_GB2312" w:eastAsia="仿宋_GB2312" w:hAnsi="宋体" w:hint="eastAsia"/>
                <w:sz w:val="24"/>
              </w:rPr>
              <w:t>如果有，如何预防不发生？一旦出现紧急情况，如何处理？</w:t>
            </w:r>
          </w:p>
          <w:p w14:paraId="3625FA01">
            <w:pPr>
              <w:spacing w:line="360" w:lineRule="auto"/>
              <w:jc w:val="left"/>
              <w:rPr>
                <w:rFonts w:ascii="Times New Roman" w:eastAsia="宋体" w:hAnsi="Times New Roman" w:cs="宋体" w:hint="eastAsia"/>
                <w:sz w:val="24"/>
                <w:szCs w:val="24"/>
              </w:rPr>
            </w:pPr>
          </w:p>
          <w:p w14:paraId="3C9D935B">
            <w:pPr>
              <w:spacing w:line="360" w:lineRule="auto"/>
              <w:rPr>
                <w:rFonts w:ascii="仿宋_GB2312" w:eastAsia="仿宋_GB2312" w:hAnsi="宋体"/>
                <w:sz w:val="24"/>
              </w:rPr>
            </w:pPr>
          </w:p>
          <w:p w14:paraId="5BFC63A9">
            <w:pPr>
              <w:spacing w:line="360" w:lineRule="auto"/>
              <w:rPr>
                <w:rFonts w:ascii="仿宋_GB2312" w:eastAsia="仿宋_GB2312" w:hAnsi="宋体"/>
                <w:sz w:val="24"/>
              </w:rPr>
            </w:pPr>
          </w:p>
        </w:tc>
      </w:tr>
      <w:tr w14:paraId="60F4258D">
        <w:tblPrEx>
          <w:tblW w:w="0" w:type="auto"/>
          <w:tblInd w:w="0" w:type="dxa"/>
          <w:tblLayout w:type="fixed"/>
          <w:tblCellMar>
            <w:top w:w="0" w:type="dxa"/>
            <w:left w:w="108" w:type="dxa"/>
            <w:bottom w:w="0" w:type="dxa"/>
            <w:right w:w="108" w:type="dxa"/>
          </w:tblCellMar>
        </w:tblPrEx>
        <w:trPr>
          <w:trHeight w:val="117"/>
        </w:trPr>
        <w:tc>
          <w:tcPr>
            <w:tcW w:w="8528" w:type="dxa"/>
            <w:gridSpan w:val="4"/>
          </w:tcPr>
          <w:p w14:paraId="6DA5E32F">
            <w:pPr>
              <w:spacing w:line="360" w:lineRule="auto"/>
              <w:rPr>
                <w:rFonts w:ascii="仿宋_GB2312" w:eastAsia="仿宋_GB2312" w:hAnsi="宋体"/>
                <w:sz w:val="24"/>
              </w:rPr>
            </w:pPr>
            <w:r>
              <w:rPr>
                <w:rFonts w:ascii="仿宋_GB2312" w:eastAsia="仿宋_GB2312" w:hAnsi="宋体" w:hint="eastAsia"/>
                <w:sz w:val="24"/>
              </w:rPr>
              <w:t>废弃物处置：</w:t>
            </w:r>
          </w:p>
          <w:p w14:paraId="6804FAF2">
            <w:pPr>
              <w:spacing w:line="360" w:lineRule="auto"/>
              <w:jc w:val="left"/>
              <w:rPr>
                <w:rFonts w:ascii="Times New Roman" w:eastAsia="宋体" w:hAnsi="Times New Roman" w:cs="Times New Roman" w:hint="eastAsia"/>
                <w:sz w:val="24"/>
                <w:szCs w:val="24"/>
              </w:rPr>
            </w:pPr>
          </w:p>
          <w:p w14:paraId="0A941F4A">
            <w:pPr>
              <w:spacing w:line="360" w:lineRule="auto"/>
              <w:rPr>
                <w:rFonts w:ascii="仿宋_GB2312" w:eastAsia="仿宋_GB2312" w:hAnsi="宋体"/>
                <w:sz w:val="24"/>
              </w:rPr>
            </w:pPr>
          </w:p>
          <w:p w14:paraId="651703F9">
            <w:pPr>
              <w:spacing w:line="360" w:lineRule="auto"/>
              <w:rPr>
                <w:rFonts w:ascii="仿宋_GB2312" w:eastAsia="仿宋_GB2312" w:hAnsi="宋体"/>
                <w:sz w:val="24"/>
              </w:rPr>
            </w:pPr>
          </w:p>
        </w:tc>
      </w:tr>
    </w:tbl>
    <w:p w14:paraId="0458C9C3">
      <w:pPr>
        <w:spacing w:before="62" w:beforeLines="20" w:line="360" w:lineRule="auto"/>
        <w:jc w:val="center"/>
        <w:rPr>
          <w:rFonts w:ascii="方正大标宋简体" w:eastAsia="方正大标宋简体" w:hAnsi="方正大标宋简体" w:cs="方正大标宋简体"/>
          <w:b/>
          <w:bCs/>
          <w:sz w:val="32"/>
          <w:szCs w:val="28"/>
        </w:rPr>
      </w:pPr>
      <w:r>
        <w:rPr>
          <w:rFonts w:ascii="方正大标宋简体" w:eastAsia="方正大标宋简体" w:hAnsi="方正大标宋简体" w:cs="方正大标宋简体" w:hint="eastAsia"/>
          <w:b/>
          <w:bCs/>
          <w:sz w:val="32"/>
          <w:szCs w:val="28"/>
        </w:rPr>
        <w:br w:type="page"/>
      </w:r>
      <w:r>
        <w:rPr>
          <w:rFonts w:ascii="方正大标宋简体" w:eastAsia="方正大标宋简体" w:hAnsi="方正大标宋简体" w:cs="方正大标宋简体" w:hint="eastAsia"/>
          <w:b/>
          <w:bCs/>
          <w:sz w:val="36"/>
          <w:szCs w:val="32"/>
        </w:rPr>
        <w:t>指导教师承诺</w:t>
      </w:r>
    </w:p>
    <w:p w14:paraId="7F10F69A">
      <w:pPr>
        <w:spacing w:before="62" w:beforeLines="20" w:line="360" w:lineRule="auto"/>
        <w:jc w:val="center"/>
        <w:rPr>
          <w:rFonts w:ascii="方正大标宋简体" w:eastAsia="方正大标宋简体" w:hAnsi="方正大标宋简体" w:cs="方正大标宋简体"/>
          <w:b/>
          <w:bCs/>
          <w:sz w:val="32"/>
          <w:szCs w:val="28"/>
        </w:rPr>
      </w:pPr>
    </w:p>
    <w:p w14:paraId="60AAF2F4">
      <w:pPr>
        <w:spacing w:line="360" w:lineRule="auto"/>
        <w:ind w:firstLine="560" w:firstLineChars="200"/>
        <w:rPr>
          <w:rFonts w:ascii="仿宋_GB2312" w:eastAsia="仿宋_GB2312" w:hAnsi="宋体"/>
          <w:sz w:val="28"/>
          <w:szCs w:val="28"/>
        </w:rPr>
      </w:pPr>
      <w:r>
        <w:rPr>
          <w:rFonts w:ascii="仿宋_GB2312" w:eastAsia="仿宋_GB2312" w:hAnsi="宋体" w:hint="eastAsia"/>
          <w:sz w:val="28"/>
          <w:szCs w:val="28"/>
        </w:rPr>
        <w:t>我已仔细审阅该同学的《安全分析报告》，并确认了该同学的实验操作可行性，确保其掌握实验的标准操作程序，提供相应的安全保障和防护，对其实验过程的安全操作进行监督。</w:t>
      </w:r>
    </w:p>
    <w:p w14:paraId="481FC7E5">
      <w:pPr>
        <w:spacing w:line="360" w:lineRule="auto"/>
        <w:ind w:firstLine="560" w:firstLineChars="200"/>
        <w:rPr>
          <w:rFonts w:ascii="仿宋_GB2312" w:eastAsia="仿宋_GB2312" w:hAnsi="宋体"/>
          <w:sz w:val="28"/>
          <w:szCs w:val="28"/>
        </w:rPr>
      </w:pPr>
    </w:p>
    <w:p w14:paraId="5B4A258B">
      <w:pPr>
        <w:wordWrap w:val="0"/>
        <w:spacing w:line="360" w:lineRule="auto"/>
        <w:ind w:firstLine="560" w:firstLineChars="200"/>
        <w:jc w:val="center"/>
        <w:rPr>
          <w:rFonts w:ascii="仿宋_GB2312" w:eastAsia="仿宋_GB2312" w:hAnsi="宋体"/>
          <w:sz w:val="28"/>
          <w:szCs w:val="28"/>
        </w:rPr>
      </w:pPr>
      <w:r>
        <w:rPr>
          <w:rFonts w:ascii="仿宋_GB2312" w:eastAsia="仿宋_GB2312" w:hAnsi="宋体" w:hint="eastAsia"/>
          <w:sz w:val="28"/>
          <w:szCs w:val="28"/>
        </w:rPr>
        <w:t xml:space="preserve">         </w:t>
      </w:r>
      <w:r>
        <w:rPr>
          <w:rFonts w:ascii="仿宋_GB2312" w:eastAsia="仿宋_GB2312" w:hAnsi="宋体" w:hint="eastAsia"/>
          <w:sz w:val="28"/>
          <w:szCs w:val="28"/>
          <w:lang w:val="en-US" w:eastAsia="zh-CN"/>
        </w:rPr>
        <w:t xml:space="preserve">          </w:t>
      </w:r>
      <w:r>
        <w:rPr>
          <w:rFonts w:ascii="仿宋_GB2312" w:eastAsia="仿宋_GB2312" w:hAnsi="宋体" w:hint="eastAsia"/>
          <w:sz w:val="28"/>
          <w:szCs w:val="28"/>
        </w:rPr>
        <w:t xml:space="preserve">  指导教师签字：</w:t>
      </w:r>
    </w:p>
    <w:p w14:paraId="08B0E8D6">
      <w:pPr>
        <w:spacing w:line="360" w:lineRule="auto"/>
        <w:ind w:firstLine="4480" w:firstLineChars="1600"/>
        <w:rPr>
          <w:rFonts w:ascii="仿宋_GB2312" w:eastAsia="仿宋_GB2312" w:hAnsi="宋体"/>
          <w:sz w:val="28"/>
          <w:szCs w:val="28"/>
        </w:rPr>
      </w:pPr>
    </w:p>
    <w:p w14:paraId="34B93629">
      <w:pPr>
        <w:wordWrap w:val="0"/>
        <w:spacing w:line="360" w:lineRule="auto"/>
        <w:ind w:firstLine="560" w:firstLineChars="200"/>
        <w:jc w:val="right"/>
        <w:rPr>
          <w:rFonts w:ascii="仿宋_GB2312" w:eastAsia="仿宋_GB2312" w:hAnsi="宋体"/>
          <w:sz w:val="28"/>
          <w:szCs w:val="28"/>
        </w:rPr>
      </w:pPr>
      <w:r>
        <w:rPr>
          <w:rFonts w:ascii="仿宋_GB2312" w:eastAsia="仿宋_GB2312" w:hAnsi="宋体" w:hint="eastAsia"/>
          <w:sz w:val="28"/>
          <w:szCs w:val="28"/>
        </w:rPr>
        <w:t xml:space="preserve">年   月   日   </w:t>
      </w:r>
    </w:p>
    <w:p w14:paraId="03A9EF7E">
      <w:pPr>
        <w:spacing w:before="62" w:beforeLines="20" w:line="360" w:lineRule="auto"/>
        <w:rPr>
          <w:rFonts w:ascii="仿宋_GB2312" w:eastAsia="仿宋_GB2312" w:hAnsi="宋体"/>
          <w:sz w:val="28"/>
        </w:rPr>
      </w:pPr>
    </w:p>
    <w:p w14:paraId="2D5B5964">
      <w:pPr>
        <w:spacing w:before="62" w:beforeLines="20" w:line="360" w:lineRule="auto"/>
        <w:jc w:val="center"/>
        <w:rPr>
          <w:rFonts w:ascii="方正大标宋简体" w:eastAsia="方正大标宋简体" w:hAnsi="方正大标宋简体" w:cs="方正大标宋简体"/>
          <w:b/>
          <w:bCs/>
          <w:sz w:val="32"/>
          <w:szCs w:val="28"/>
        </w:rPr>
      </w:pPr>
    </w:p>
    <w:p w14:paraId="54D9EF61">
      <w:pPr>
        <w:spacing w:before="62" w:beforeLines="20" w:line="360" w:lineRule="auto"/>
        <w:jc w:val="center"/>
        <w:rPr>
          <w:rFonts w:ascii="方正大标宋简体" w:eastAsia="方正大标宋简体" w:hAnsi="方正大标宋简体" w:cs="方正大标宋简体"/>
          <w:b/>
          <w:bCs/>
          <w:sz w:val="32"/>
          <w:szCs w:val="28"/>
        </w:rPr>
      </w:pPr>
      <w:r>
        <w:rPr>
          <w:rFonts w:ascii="方正大标宋简体" w:eastAsia="方正大标宋简体" w:hAnsi="方正大标宋简体" w:cs="方正大标宋简体" w:hint="eastAsia"/>
          <w:b/>
          <w:bCs/>
          <w:sz w:val="36"/>
          <w:szCs w:val="32"/>
        </w:rPr>
        <w:t>实验室安全员承诺</w:t>
      </w:r>
    </w:p>
    <w:p w14:paraId="671F687F">
      <w:pPr>
        <w:spacing w:before="62" w:beforeLines="20" w:line="360" w:lineRule="auto"/>
        <w:jc w:val="center"/>
        <w:rPr>
          <w:rFonts w:ascii="方正大标宋简体" w:eastAsia="方正大标宋简体" w:hAnsi="方正大标宋简体" w:cs="方正大标宋简体"/>
          <w:b/>
          <w:bCs/>
          <w:sz w:val="32"/>
          <w:szCs w:val="28"/>
        </w:rPr>
      </w:pPr>
    </w:p>
    <w:p w14:paraId="57374FDD">
      <w:pPr>
        <w:spacing w:line="360" w:lineRule="auto"/>
        <w:ind w:firstLine="560" w:firstLineChars="200"/>
        <w:rPr>
          <w:rFonts w:ascii="仿宋_GB2312" w:eastAsia="仿宋_GB2312" w:hAnsi="宋体"/>
          <w:sz w:val="28"/>
          <w:szCs w:val="28"/>
        </w:rPr>
      </w:pPr>
      <w:r>
        <w:rPr>
          <w:rFonts w:ascii="仿宋_GB2312" w:eastAsia="仿宋_GB2312" w:hAnsi="宋体" w:hint="eastAsia"/>
          <w:sz w:val="28"/>
          <w:szCs w:val="28"/>
        </w:rPr>
        <w:t>我已将实验室安全相关资料发放给该同学，并在其工作期间监督其落实。</w:t>
      </w:r>
    </w:p>
    <w:p w14:paraId="2A3029C3">
      <w:pPr>
        <w:spacing w:line="360" w:lineRule="auto"/>
        <w:ind w:firstLine="560" w:firstLineChars="200"/>
        <w:rPr>
          <w:rFonts w:ascii="仿宋_GB2312" w:eastAsia="仿宋_GB2312" w:hAnsi="宋体"/>
          <w:color w:val="0000FF"/>
          <w:sz w:val="28"/>
          <w:szCs w:val="28"/>
        </w:rPr>
      </w:pPr>
    </w:p>
    <w:p w14:paraId="5C8CB75E">
      <w:pPr>
        <w:wordWrap w:val="0"/>
        <w:spacing w:line="360" w:lineRule="auto"/>
        <w:ind w:firstLine="560" w:firstLineChars="200"/>
        <w:jc w:val="right"/>
        <w:rPr>
          <w:rFonts w:ascii="仿宋_GB2312" w:eastAsia="仿宋_GB2312" w:hAnsi="宋体"/>
          <w:sz w:val="28"/>
          <w:szCs w:val="28"/>
        </w:rPr>
      </w:pPr>
      <w:r>
        <w:rPr>
          <w:rFonts w:ascii="仿宋_GB2312" w:eastAsia="仿宋_GB2312" w:hAnsi="宋体" w:hint="eastAsia"/>
          <w:sz w:val="28"/>
          <w:szCs w:val="28"/>
        </w:rPr>
        <w:t xml:space="preserve">实验室负责人签字：           </w:t>
      </w:r>
    </w:p>
    <w:p w14:paraId="4C756658">
      <w:pPr>
        <w:spacing w:line="360" w:lineRule="auto"/>
        <w:ind w:firstLine="4480" w:firstLineChars="1600"/>
        <w:rPr>
          <w:rFonts w:ascii="仿宋_GB2312" w:eastAsia="仿宋_GB2312" w:hAnsi="宋体"/>
          <w:sz w:val="28"/>
          <w:szCs w:val="28"/>
        </w:rPr>
      </w:pPr>
    </w:p>
    <w:p w14:paraId="5A833853">
      <w:pPr>
        <w:spacing w:line="360" w:lineRule="auto"/>
        <w:ind w:firstLine="4480" w:firstLineChars="1600"/>
        <w:rPr>
          <w:rFonts w:ascii="仿宋_GB2312" w:eastAsia="仿宋_GB2312" w:hAnsi="宋体"/>
          <w:sz w:val="28"/>
          <w:szCs w:val="28"/>
        </w:rPr>
      </w:pPr>
    </w:p>
    <w:p w14:paraId="431CC3B5">
      <w:pPr>
        <w:jc w:val="right"/>
        <w:rPr>
          <w:rFonts w:ascii="仿宋_GB2312" w:eastAsia="仿宋_GB2312" w:hAnsi="宋体"/>
          <w:sz w:val="28"/>
          <w:szCs w:val="28"/>
        </w:rPr>
        <w:sectPr>
          <w:pgSz w:w="11906" w:h="16838"/>
          <w:pgMar w:top="1701" w:right="1797" w:bottom="1440" w:left="1797" w:header="851" w:footer="992" w:gutter="0"/>
          <w:pgNumType w:start="1"/>
          <w:cols w:num="1" w:space="720"/>
          <w:docGrid w:type="lines" w:linePitch="312" w:charSpace="0"/>
        </w:sectPr>
      </w:pPr>
      <w:r>
        <w:rPr>
          <w:rFonts w:ascii="仿宋_GB2312" w:eastAsia="仿宋_GB2312" w:hAnsi="宋体" w:hint="eastAsia"/>
          <w:sz w:val="28"/>
          <w:szCs w:val="28"/>
        </w:rPr>
        <w:t xml:space="preserve">年   月   日 </w:t>
      </w:r>
    </w:p>
    <w:tbl>
      <w:tblPr>
        <w:tblStyle w:val="TableNormal"/>
        <w:tblW w:w="0" w:type="auto"/>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0" w:type="dxa"/>
          <w:left w:w="108" w:type="dxa"/>
          <w:bottom w:w="0" w:type="dxa"/>
          <w:right w:w="108" w:type="dxa"/>
        </w:tblCellMar>
      </w:tblPr>
      <w:tblGrid>
        <w:gridCol w:w="8528"/>
      </w:tblGrid>
      <w:tr w14:paraId="03F3D390">
        <w:tblPrEx>
          <w:tblW w:w="0" w:type="auto"/>
          <w:tblInd w:w="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0" w:type="dxa"/>
            <w:left w:w="108" w:type="dxa"/>
            <w:bottom w:w="0" w:type="dxa"/>
            <w:right w:w="108" w:type="dxa"/>
          </w:tblCellMar>
        </w:tblPrEx>
        <w:trPr>
          <w:trHeight w:val="5102"/>
        </w:trPr>
        <w:tc>
          <w:tcPr>
            <w:tcW w:w="8528" w:type="dxa"/>
            <w:vAlign w:val="top"/>
          </w:tcPr>
          <w:p w14:paraId="450B3ED3">
            <w:pPr>
              <w:spacing w:before="62" w:beforeLines="20" w:line="360" w:lineRule="auto"/>
              <w:rPr>
                <w:rFonts w:ascii="仿宋_GB2312" w:eastAsia="仿宋_GB2312" w:hAnsi="宋体"/>
                <w:sz w:val="28"/>
              </w:rPr>
            </w:pPr>
            <w:r>
              <w:rPr>
                <w:rFonts w:ascii="仿宋_GB2312" w:eastAsia="仿宋_GB2312" w:hAnsi="宋体" w:hint="eastAsia"/>
                <w:sz w:val="28"/>
              </w:rPr>
              <w:t>主要参考文献</w:t>
            </w:r>
          </w:p>
          <w:p w14:paraId="279D2CC8">
            <w:pPr>
              <w:keepNext w:val="0"/>
              <w:keepLines w:val="0"/>
              <w:pageBreakBefore w:val="0"/>
              <w:widowControl w:val="0"/>
              <w:kinsoku/>
              <w:wordWrap/>
              <w:overflowPunct/>
              <w:topLinePunct w:val="0"/>
              <w:autoSpaceDE/>
              <w:autoSpaceDN/>
              <w:bidi w:val="0"/>
              <w:adjustRightInd/>
              <w:snapToGrid/>
              <w:spacing w:before="62" w:beforeLines="20" w:line="360" w:lineRule="auto"/>
              <w:ind w:left="480" w:hanging="480" w:hangingChars="200"/>
              <w:jc w:val="left"/>
              <w:textAlignment w:val="auto"/>
              <w:rPr>
                <w:rFonts w:ascii="仿宋_GB2312" w:eastAsia="仿宋_GB2312" w:hAnsi="宋体"/>
                <w:sz w:val="24"/>
              </w:rPr>
            </w:pPr>
            <w:r>
              <w:rPr>
                <w:rFonts w:ascii="Times New Roman" w:eastAsia="宋体" w:hAnsi="Times New Roman" w:cs="Times New Roman" w:hint="eastAsia"/>
                <w:sz w:val="24"/>
              </w:rPr>
              <w:t>[1]Zhang W, Huang K, Feng X, et al. Market maker competition and price efficiency: Evidence from China[J]. Economic Modelling, 2017, 66: 121-131.</w:t>
            </w:r>
          </w:p>
          <w:p>
            <w:pPr>
              <w:keepNext w:val="0"/>
              <w:keepLines w:val="0"/>
              <w:pageBreakBefore w:val="0"/>
              <w:widowControl w:val="0"/>
              <w:kinsoku/>
              <w:wordWrap/>
              <w:overflowPunct/>
              <w:topLinePunct w:val="0"/>
              <w:autoSpaceDE/>
              <w:autoSpaceDN/>
              <w:bidi w:val="0"/>
              <w:adjustRightInd/>
              <w:snapToGrid/>
              <w:spacing w:before="62" w:beforeLines="20" w:line="360" w:lineRule="auto"/>
              <w:ind w:left="480" w:hanging="480" w:hangingChars="200"/>
              <w:jc w:val="left"/>
              <w:textAlignment w:val="auto"/>
              <w:rPr>
                <w:rFonts w:ascii="仿宋_GB2312" w:eastAsia="仿宋_GB2312" w:hAnsi="宋体"/>
                <w:sz w:val="24"/>
              </w:rPr>
            </w:pPr>
            <w:r>
              <w:rPr>
                <w:rFonts w:ascii="Times New Roman" w:eastAsia="宋体" w:hAnsi="Times New Roman" w:cs="Times New Roman" w:hint="eastAsia"/>
                <w:sz w:val="24"/>
              </w:rPr>
              <w:t>[2]Li J, Li J, Kong A. Do market makers matter for price efficiency?—Evidence from China’s Sci-Tech Innovation Board[J]. International Review of Financial Analysis, 2025: 104308.</w:t>
            </w:r>
          </w:p>
          <w:p>
            <w:pPr>
              <w:keepNext w:val="0"/>
              <w:keepLines w:val="0"/>
              <w:pageBreakBefore w:val="0"/>
              <w:widowControl w:val="0"/>
              <w:kinsoku/>
              <w:wordWrap/>
              <w:overflowPunct/>
              <w:topLinePunct w:val="0"/>
              <w:autoSpaceDE/>
              <w:autoSpaceDN/>
              <w:bidi w:val="0"/>
              <w:adjustRightInd/>
              <w:snapToGrid/>
              <w:spacing w:before="62" w:beforeLines="20" w:line="360" w:lineRule="auto"/>
              <w:ind w:left="480" w:hanging="480" w:hangingChars="200"/>
              <w:jc w:val="left"/>
              <w:textAlignment w:val="auto"/>
              <w:rPr>
                <w:rFonts w:ascii="仿宋_GB2312" w:eastAsia="仿宋_GB2312" w:hAnsi="宋体"/>
                <w:sz w:val="24"/>
              </w:rPr>
            </w:pPr>
            <w:r>
              <w:rPr>
                <w:rFonts w:ascii="Times New Roman" w:eastAsia="宋体" w:hAnsi="Times New Roman" w:cs="Times New Roman" w:hint="eastAsia"/>
                <w:sz w:val="24"/>
              </w:rPr>
              <w:t>[3]Liu K. Shanghai Stock Exchange’s Science and Technology Innovation Board: A Review[J]. 2023.</w:t>
            </w:r>
          </w:p>
          <w:p>
            <w:pPr>
              <w:keepNext w:val="0"/>
              <w:keepLines w:val="0"/>
              <w:pageBreakBefore w:val="0"/>
              <w:widowControl w:val="0"/>
              <w:kinsoku/>
              <w:wordWrap/>
              <w:overflowPunct/>
              <w:topLinePunct w:val="0"/>
              <w:autoSpaceDE/>
              <w:autoSpaceDN/>
              <w:bidi w:val="0"/>
              <w:adjustRightInd/>
              <w:snapToGrid/>
              <w:spacing w:before="62" w:beforeLines="20" w:line="360" w:lineRule="auto"/>
              <w:ind w:left="480" w:hanging="480" w:hangingChars="200"/>
              <w:jc w:val="left"/>
              <w:textAlignment w:val="auto"/>
              <w:rPr>
                <w:rFonts w:ascii="仿宋_GB2312" w:eastAsia="仿宋_GB2312" w:hAnsi="宋体"/>
                <w:sz w:val="24"/>
              </w:rPr>
            </w:pPr>
            <w:r>
              <w:rPr>
                <w:rFonts w:ascii="Times New Roman" w:eastAsia="宋体" w:hAnsi="Times New Roman" w:cs="Times New Roman" w:hint="eastAsia"/>
                <w:sz w:val="24"/>
              </w:rPr>
              <w:t>[4]郑建明,李金甜,刘琳.新三板做市交易提高流动性了吗?——基于“流动性悖论”的视角[J].金融研究,2018,(04):190-206.</w:t>
            </w:r>
          </w:p>
          <w:p>
            <w:pPr>
              <w:keepNext w:val="0"/>
              <w:keepLines w:val="0"/>
              <w:pageBreakBefore w:val="0"/>
              <w:widowControl w:val="0"/>
              <w:kinsoku/>
              <w:wordWrap/>
              <w:overflowPunct/>
              <w:topLinePunct w:val="0"/>
              <w:autoSpaceDE/>
              <w:autoSpaceDN/>
              <w:bidi w:val="0"/>
              <w:adjustRightInd/>
              <w:snapToGrid/>
              <w:spacing w:before="62" w:beforeLines="20" w:line="360" w:lineRule="auto"/>
              <w:ind w:left="480" w:hanging="480" w:hangingChars="200"/>
              <w:jc w:val="left"/>
              <w:textAlignment w:val="auto"/>
              <w:rPr>
                <w:rFonts w:ascii="仿宋_GB2312" w:eastAsia="仿宋_GB2312" w:hAnsi="宋体"/>
                <w:sz w:val="24"/>
              </w:rPr>
            </w:pPr>
            <w:r>
              <w:rPr>
                <w:rFonts w:ascii="Times New Roman" w:eastAsia="宋体" w:hAnsi="Times New Roman" w:cs="Times New Roman" w:hint="eastAsia"/>
                <w:sz w:val="24"/>
              </w:rPr>
              <w:t>[5]闵豫南.做市商制度与新三板市场流动性研究[J].现代经济探讨,2020,(12):50-56.DOI:10.13891/j.cnki.mer.2020.12.008.</w:t>
            </w:r>
          </w:p>
          <w:p>
            <w:pPr>
              <w:keepNext w:val="0"/>
              <w:keepLines w:val="0"/>
              <w:pageBreakBefore w:val="0"/>
              <w:widowControl w:val="0"/>
              <w:kinsoku/>
              <w:wordWrap/>
              <w:overflowPunct/>
              <w:topLinePunct w:val="0"/>
              <w:autoSpaceDE/>
              <w:autoSpaceDN/>
              <w:bidi w:val="0"/>
              <w:adjustRightInd/>
              <w:snapToGrid/>
              <w:spacing w:before="62" w:beforeLines="20" w:line="360" w:lineRule="auto"/>
              <w:ind w:left="480" w:hanging="480" w:hangingChars="200"/>
              <w:jc w:val="left"/>
              <w:textAlignment w:val="auto"/>
              <w:rPr>
                <w:rFonts w:ascii="仿宋_GB2312" w:eastAsia="仿宋_GB2312" w:hAnsi="宋体"/>
                <w:sz w:val="24"/>
              </w:rPr>
            </w:pPr>
            <w:r>
              <w:rPr>
                <w:rFonts w:ascii="Times New Roman" w:eastAsia="宋体" w:hAnsi="Times New Roman" w:cs="Times New Roman" w:hint="eastAsia"/>
                <w:sz w:val="24"/>
              </w:rPr>
              <w:t>[6]彭涛,朱冠平,王俊,等.股票发行制度与初创科技型企业估值：基于准自然实验的证据[J].南开管理评论,2024,27(04):141-152.</w:t>
            </w:r>
          </w:p>
          <w:p>
            <w:pPr>
              <w:keepNext w:val="0"/>
              <w:keepLines w:val="0"/>
              <w:pageBreakBefore w:val="0"/>
              <w:widowControl w:val="0"/>
              <w:kinsoku/>
              <w:wordWrap/>
              <w:overflowPunct/>
              <w:topLinePunct w:val="0"/>
              <w:autoSpaceDE/>
              <w:autoSpaceDN/>
              <w:bidi w:val="0"/>
              <w:adjustRightInd/>
              <w:snapToGrid/>
              <w:spacing w:before="62" w:beforeLines="20" w:line="360" w:lineRule="auto"/>
              <w:ind w:left="480" w:hanging="480" w:hangingChars="200"/>
              <w:jc w:val="left"/>
              <w:textAlignment w:val="auto"/>
              <w:rPr>
                <w:rFonts w:ascii="仿宋_GB2312" w:eastAsia="仿宋_GB2312" w:hAnsi="宋体"/>
                <w:sz w:val="24"/>
              </w:rPr>
            </w:pPr>
            <w:r>
              <w:rPr>
                <w:rFonts w:ascii="Times New Roman" w:eastAsia="宋体" w:hAnsi="Times New Roman" w:cs="Times New Roman" w:hint="eastAsia"/>
                <w:sz w:val="24"/>
              </w:rPr>
              <w:t>[7]黄可.基于中国新三板市场的做市商竞争与定价效率研究[D].天津大学,2018.</w:t>
            </w:r>
          </w:p>
          <w:p>
            <w:pPr>
              <w:keepNext w:val="0"/>
              <w:keepLines w:val="0"/>
              <w:pageBreakBefore w:val="0"/>
              <w:widowControl w:val="0"/>
              <w:kinsoku/>
              <w:wordWrap/>
              <w:overflowPunct/>
              <w:topLinePunct w:val="0"/>
              <w:autoSpaceDE/>
              <w:autoSpaceDN/>
              <w:bidi w:val="0"/>
              <w:adjustRightInd/>
              <w:snapToGrid/>
              <w:spacing w:before="62" w:beforeLines="20" w:line="360" w:lineRule="auto"/>
              <w:ind w:left="480" w:hanging="480" w:hangingChars="200"/>
              <w:jc w:val="left"/>
              <w:textAlignment w:val="auto"/>
              <w:rPr>
                <w:rFonts w:ascii="仿宋_GB2312" w:eastAsia="仿宋_GB2312" w:hAnsi="宋体"/>
                <w:sz w:val="24"/>
              </w:rPr>
            </w:pPr>
            <w:r>
              <w:rPr>
                <w:rFonts w:ascii="Times New Roman" w:eastAsia="宋体" w:hAnsi="Times New Roman" w:cs="Times New Roman" w:hint="eastAsia"/>
                <w:sz w:val="24"/>
              </w:rPr>
              <w:t>[8]朱宏泉,景瑞.科创板做市商制度建设：机制、成效与启示[J].证券市场导报,2025,(12):57-67+77.</w:t>
            </w:r>
          </w:p>
        </w:tc>
      </w:tr>
      <w:tr w14:paraId="57BF1E41">
        <w:tblPrEx>
          <w:tblW w:w="0" w:type="auto"/>
          <w:tblInd w:w="0" w:type="dxa"/>
          <w:tblLayout w:type="fixed"/>
          <w:tblCellMar>
            <w:top w:w="0" w:type="dxa"/>
            <w:left w:w="108" w:type="dxa"/>
            <w:bottom w:w="0" w:type="dxa"/>
            <w:right w:w="108" w:type="dxa"/>
          </w:tblCellMar>
        </w:tblPrEx>
        <w:trPr>
          <w:trHeight w:val="3068"/>
        </w:trPr>
        <w:tc>
          <w:tcPr>
            <w:tcW w:w="8528" w:type="dxa"/>
          </w:tcPr>
          <w:p w14:paraId="0F4C53DB">
            <w:pPr>
              <w:spacing w:before="62" w:beforeLines="20" w:line="360" w:lineRule="auto"/>
              <w:jc w:val="left"/>
              <w:rPr>
                <w:rFonts w:ascii="仿宋_GB2312" w:eastAsia="仿宋_GB2312" w:hAnsi="宋体"/>
                <w:sz w:val="28"/>
              </w:rPr>
            </w:pPr>
            <w:r>
              <w:rPr>
                <w:rFonts w:ascii="仿宋_GB2312" w:eastAsia="仿宋_GB2312" w:hAnsi="宋体" w:hint="eastAsia"/>
                <w:sz w:val="28"/>
              </w:rPr>
              <w:t>其他说明</w:t>
            </w:r>
          </w:p>
          <w:p w14:paraId="6DD114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sz w:val="24"/>
              </w:rPr>
            </w:pPr>
          </w:p>
        </w:tc>
      </w:tr>
      <w:tr w14:paraId="6733093E">
        <w:tblPrEx>
          <w:tblW w:w="0" w:type="auto"/>
          <w:tblInd w:w="0" w:type="dxa"/>
          <w:tblLayout w:type="fixed"/>
          <w:tblCellMar>
            <w:top w:w="0" w:type="dxa"/>
            <w:left w:w="108" w:type="dxa"/>
            <w:bottom w:w="0" w:type="dxa"/>
            <w:right w:w="108" w:type="dxa"/>
          </w:tblCellMar>
        </w:tblPrEx>
        <w:trPr>
          <w:trHeight w:val="4700"/>
        </w:trPr>
        <w:tc>
          <w:tcPr>
            <w:tcW w:w="8528" w:type="dxa"/>
          </w:tcPr>
          <w:p w14:paraId="7D308844">
            <w:pPr>
              <w:spacing w:before="62" w:beforeLines="20" w:line="360" w:lineRule="auto"/>
              <w:rPr>
                <w:rFonts w:ascii="仿宋_GB2312" w:eastAsia="仿宋_GB2312" w:hAnsi="宋体"/>
                <w:sz w:val="28"/>
              </w:rPr>
            </w:pPr>
            <w:r>
              <w:rPr>
                <w:rFonts w:ascii="仿宋_GB2312" w:eastAsia="仿宋_GB2312" w:hAnsi="宋体" w:hint="eastAsia"/>
                <w:sz w:val="28"/>
              </w:rPr>
              <w:t>指导教师意见</w:t>
            </w:r>
          </w:p>
          <w:p w14:paraId="25FCD061">
            <w:pPr>
              <w:spacing w:line="360" w:lineRule="auto"/>
              <w:ind w:firstLine="480" w:firstLineChars="200"/>
              <w:jc w:val="left"/>
              <w:rPr>
                <w:rFonts w:ascii="Times New Roman" w:eastAsia="宋体" w:hAnsi="Times New Roman" w:cs="Times New Roman" w:hint="eastAsia"/>
                <w:sz w:val="24"/>
              </w:rPr>
            </w:pPr>
          </w:p>
          <w:p w14:paraId="31BD001A">
            <w:pPr>
              <w:spacing w:line="360" w:lineRule="auto"/>
              <w:rPr>
                <w:rFonts w:ascii="仿宋_GB2312" w:eastAsia="仿宋_GB2312" w:hAnsi="宋体"/>
                <w:sz w:val="24"/>
              </w:rPr>
            </w:pPr>
          </w:p>
          <w:p w14:paraId="22FE3964">
            <w:pPr>
              <w:spacing w:line="360" w:lineRule="auto"/>
              <w:rPr>
                <w:rFonts w:ascii="仿宋_GB2312" w:eastAsia="仿宋_GB2312" w:hAnsi="宋体"/>
                <w:sz w:val="24"/>
              </w:rPr>
            </w:pPr>
          </w:p>
          <w:p w14:paraId="4E0C9A8A">
            <w:pPr>
              <w:spacing w:line="360" w:lineRule="auto"/>
              <w:rPr>
                <w:rFonts w:ascii="仿宋_GB2312" w:eastAsia="仿宋_GB2312" w:hAnsi="宋体"/>
                <w:sz w:val="24"/>
              </w:rPr>
            </w:pPr>
          </w:p>
          <w:p w14:paraId="62E3A6E6">
            <w:pPr>
              <w:spacing w:line="360" w:lineRule="auto"/>
              <w:ind w:firstLine="4800" w:firstLineChars="2000"/>
              <w:jc w:val="right"/>
              <w:rPr>
                <w:rFonts w:ascii="仿宋_GB2312" w:eastAsia="仿宋_GB2312" w:hAnsi="宋体"/>
                <w:sz w:val="24"/>
              </w:rPr>
            </w:pPr>
          </w:p>
          <w:p w14:paraId="2E13B485">
            <w:pPr>
              <w:wordWrap w:val="0"/>
              <w:spacing w:line="360" w:lineRule="auto"/>
              <w:ind w:right="1050" w:rightChars="500"/>
              <w:jc w:val="right"/>
              <w:rPr>
                <w:rFonts w:ascii="Times New Roman" w:eastAsia="宋体" w:hAnsi="Times New Roman" w:hint="default"/>
                <w:sz w:val="24"/>
                <w:lang w:val="en-US" w:eastAsia="zh-CN"/>
              </w:rPr>
            </w:pPr>
            <w:r>
              <w:rPr>
                <w:rFonts w:ascii="Times New Roman" w:eastAsia="宋体" w:hAnsi="Times New Roman" w:hint="eastAsia"/>
                <w:sz w:val="24"/>
              </w:rPr>
              <w:t>指导教师签名：</w:t>
            </w:r>
            <w:r>
              <w:rPr>
                <w:rFonts w:hint="eastAsia"/>
                <w:sz w:val="24"/>
                <w:lang w:val="en-US" w:eastAsia="zh-CN"/>
              </w:rPr>
              <w:t xml:space="preserve">       </w:t>
            </w:r>
          </w:p>
          <w:p w14:paraId="4600818B">
            <w:pPr>
              <w:spacing w:line="360" w:lineRule="auto"/>
              <w:ind w:firstLine="4800" w:firstLineChars="2000"/>
              <w:jc w:val="right"/>
              <w:rPr>
                <w:rFonts w:ascii="Times New Roman" w:eastAsia="宋体" w:hAnsi="Times New Roman"/>
                <w:sz w:val="24"/>
              </w:rPr>
            </w:pPr>
          </w:p>
          <w:p w14:paraId="2BDDE426">
            <w:pPr>
              <w:wordWrap w:val="0"/>
              <w:spacing w:line="360" w:lineRule="auto"/>
              <w:ind w:right="630" w:rightChars="300"/>
              <w:jc w:val="right"/>
              <w:rPr>
                <w:rFonts w:ascii="仿宋_GB2312" w:eastAsia="仿宋_GB2312" w:hAnsi="宋体"/>
                <w:sz w:val="24"/>
              </w:rPr>
            </w:pPr>
          </w:p>
        </w:tc>
      </w:tr>
    </w:tbl>
    <w:p w14:paraId="3D938CAB">
      <w:pPr>
        <w:rPr>
          <w:rFonts w:ascii="仿宋_GB2312" w:eastAsia="仿宋_GB2312" w:hAnsi="宋体"/>
          <w:sz w:val="28"/>
          <w:szCs w:val="28"/>
        </w:rPr>
      </w:pPr>
    </w:p>
    <w:sectPr>
      <w:footerReference w:type="default" r:id="rId6"/>
      <w:pgSz w:w="11906" w:h="16838"/>
      <w:pgMar w:top="1701" w:right="1797" w:bottom="1440" w:left="1797" w:header="851" w:footer="992" w:gutter="0"/>
      <w:pgNumType w:start="1"/>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 w:name="方正粗宋简体">
    <w:altName w:val="宋体"/>
    <w:panose1 w:val="00000000000000000000"/>
    <w:charset w:val="86"/>
    <w:family w:val="auto"/>
    <w:pitch w:val="default"/>
    <w:sig w:usb0="00000000" w:usb1="00000000" w:usb2="00000000" w:usb3="00000000" w:csb0="00040000" w:csb1="00000000"/>
  </w:font>
  <w:font w:name="方正大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Dotum">
    <w:altName w:val="Malgun Gothic"/>
    <w:panose1 w:val="020B0600000101010101"/>
    <w:charset w:val="81"/>
    <w:family w:val="swiss"/>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华文中宋">
    <w:altName w:val="宋体"/>
    <w:panose1 w:val="02010600040101010101"/>
    <w:charset w:val="86"/>
    <w:family w:val="auto"/>
    <w:pitch w:val="default"/>
    <w:sig w:usb0="00000000" w:usb1="0000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F40F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CFCDE98">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EF1"/>
    <w:rsid w:val="00061100"/>
    <w:rsid w:val="00070442"/>
    <w:rsid w:val="00083913"/>
    <w:rsid w:val="00086BDF"/>
    <w:rsid w:val="000B3D02"/>
    <w:rsid w:val="001539B9"/>
    <w:rsid w:val="00170F99"/>
    <w:rsid w:val="001F2B85"/>
    <w:rsid w:val="00211335"/>
    <w:rsid w:val="002361A9"/>
    <w:rsid w:val="002E358C"/>
    <w:rsid w:val="00322B0F"/>
    <w:rsid w:val="003732C4"/>
    <w:rsid w:val="003D5E98"/>
    <w:rsid w:val="00427F99"/>
    <w:rsid w:val="00466BA3"/>
    <w:rsid w:val="005D0CA7"/>
    <w:rsid w:val="006145D9"/>
    <w:rsid w:val="00623E07"/>
    <w:rsid w:val="006373A6"/>
    <w:rsid w:val="006901D9"/>
    <w:rsid w:val="006E332E"/>
    <w:rsid w:val="0071162E"/>
    <w:rsid w:val="00727BBF"/>
    <w:rsid w:val="00734709"/>
    <w:rsid w:val="00757B7C"/>
    <w:rsid w:val="007703F9"/>
    <w:rsid w:val="007A7987"/>
    <w:rsid w:val="00810E0A"/>
    <w:rsid w:val="00824AB7"/>
    <w:rsid w:val="008C3450"/>
    <w:rsid w:val="008C6049"/>
    <w:rsid w:val="008C6173"/>
    <w:rsid w:val="00904F2B"/>
    <w:rsid w:val="009073E7"/>
    <w:rsid w:val="009612F9"/>
    <w:rsid w:val="0097310D"/>
    <w:rsid w:val="009846A5"/>
    <w:rsid w:val="009E64F4"/>
    <w:rsid w:val="009F7E39"/>
    <w:rsid w:val="00A05EF1"/>
    <w:rsid w:val="00A502C1"/>
    <w:rsid w:val="00A6058E"/>
    <w:rsid w:val="00A95B2D"/>
    <w:rsid w:val="00AC0B83"/>
    <w:rsid w:val="00B06574"/>
    <w:rsid w:val="00B433FF"/>
    <w:rsid w:val="00B86CA8"/>
    <w:rsid w:val="00BA0AAB"/>
    <w:rsid w:val="00BF1B41"/>
    <w:rsid w:val="00C84E54"/>
    <w:rsid w:val="00C875A8"/>
    <w:rsid w:val="00CB36F8"/>
    <w:rsid w:val="00D272FC"/>
    <w:rsid w:val="00D37125"/>
    <w:rsid w:val="00D55480"/>
    <w:rsid w:val="00D97581"/>
    <w:rsid w:val="00DB6685"/>
    <w:rsid w:val="00DC6D71"/>
    <w:rsid w:val="00E37401"/>
    <w:rsid w:val="00E56E08"/>
    <w:rsid w:val="00E65CBC"/>
    <w:rsid w:val="00E76B51"/>
    <w:rsid w:val="00F36340"/>
    <w:rsid w:val="00F71A8E"/>
    <w:rsid w:val="00F85CEB"/>
    <w:rsid w:val="00F933CA"/>
    <w:rsid w:val="00FE7D7D"/>
    <w:rsid w:val="013775EA"/>
    <w:rsid w:val="016C0109"/>
    <w:rsid w:val="01F13474"/>
    <w:rsid w:val="01FF5BD4"/>
    <w:rsid w:val="021739DB"/>
    <w:rsid w:val="024B63AD"/>
    <w:rsid w:val="025D3F8F"/>
    <w:rsid w:val="03E66AAF"/>
    <w:rsid w:val="04A11073"/>
    <w:rsid w:val="04EE2435"/>
    <w:rsid w:val="059C4411"/>
    <w:rsid w:val="05E75EAC"/>
    <w:rsid w:val="071452A4"/>
    <w:rsid w:val="0DA479AB"/>
    <w:rsid w:val="0DC1728C"/>
    <w:rsid w:val="0E2F0DE8"/>
    <w:rsid w:val="0E317AC3"/>
    <w:rsid w:val="10296BBB"/>
    <w:rsid w:val="10426EA7"/>
    <w:rsid w:val="106F1CAC"/>
    <w:rsid w:val="10E632BD"/>
    <w:rsid w:val="114B0180"/>
    <w:rsid w:val="13C2005F"/>
    <w:rsid w:val="13FA6691"/>
    <w:rsid w:val="14114001"/>
    <w:rsid w:val="142F6EEE"/>
    <w:rsid w:val="15DC43AA"/>
    <w:rsid w:val="17F036B3"/>
    <w:rsid w:val="181372EE"/>
    <w:rsid w:val="18575EE0"/>
    <w:rsid w:val="19101C63"/>
    <w:rsid w:val="19395CDA"/>
    <w:rsid w:val="194607C1"/>
    <w:rsid w:val="1A3416DB"/>
    <w:rsid w:val="1B53419D"/>
    <w:rsid w:val="1C1F71DC"/>
    <w:rsid w:val="1CE234CD"/>
    <w:rsid w:val="1F6156BD"/>
    <w:rsid w:val="20102F13"/>
    <w:rsid w:val="20514041"/>
    <w:rsid w:val="20C04A8B"/>
    <w:rsid w:val="229628BF"/>
    <w:rsid w:val="22E60DE9"/>
    <w:rsid w:val="23DA7F07"/>
    <w:rsid w:val="25634525"/>
    <w:rsid w:val="264D6A84"/>
    <w:rsid w:val="277A7BAE"/>
    <w:rsid w:val="28642F12"/>
    <w:rsid w:val="28646682"/>
    <w:rsid w:val="29DB4666"/>
    <w:rsid w:val="2AF53760"/>
    <w:rsid w:val="2B503809"/>
    <w:rsid w:val="2CEA02B5"/>
    <w:rsid w:val="2E4A4F08"/>
    <w:rsid w:val="2EFB347B"/>
    <w:rsid w:val="329C3BC3"/>
    <w:rsid w:val="38C229B5"/>
    <w:rsid w:val="390222A8"/>
    <w:rsid w:val="39DF588C"/>
    <w:rsid w:val="3A0E48B1"/>
    <w:rsid w:val="3A1D1A12"/>
    <w:rsid w:val="3E7F5ECE"/>
    <w:rsid w:val="3EA76FD1"/>
    <w:rsid w:val="41FD30B9"/>
    <w:rsid w:val="4294117F"/>
    <w:rsid w:val="432F4DAA"/>
    <w:rsid w:val="445E3360"/>
    <w:rsid w:val="47FF73BA"/>
    <w:rsid w:val="482E1BAA"/>
    <w:rsid w:val="49E658D2"/>
    <w:rsid w:val="4C6F00DC"/>
    <w:rsid w:val="4CDF445B"/>
    <w:rsid w:val="4D3A06A9"/>
    <w:rsid w:val="534879F7"/>
    <w:rsid w:val="53C214D3"/>
    <w:rsid w:val="546713B7"/>
    <w:rsid w:val="548B742B"/>
    <w:rsid w:val="57D339B0"/>
    <w:rsid w:val="5852136A"/>
    <w:rsid w:val="5A8826F5"/>
    <w:rsid w:val="5C172052"/>
    <w:rsid w:val="5C9D54DA"/>
    <w:rsid w:val="5CC63927"/>
    <w:rsid w:val="5DCA7A66"/>
    <w:rsid w:val="5EB369C2"/>
    <w:rsid w:val="62F33130"/>
    <w:rsid w:val="63FA2E8F"/>
    <w:rsid w:val="66084796"/>
    <w:rsid w:val="662B7BAC"/>
    <w:rsid w:val="666E6EE9"/>
    <w:rsid w:val="67280C09"/>
    <w:rsid w:val="675D097C"/>
    <w:rsid w:val="67E140BA"/>
    <w:rsid w:val="68753F1F"/>
    <w:rsid w:val="6A024D0C"/>
    <w:rsid w:val="6D2B54AE"/>
    <w:rsid w:val="6DEB69BE"/>
    <w:rsid w:val="6EC07761"/>
    <w:rsid w:val="6EDF6575"/>
    <w:rsid w:val="6F1172EA"/>
    <w:rsid w:val="706F5A3C"/>
    <w:rsid w:val="71E123A3"/>
    <w:rsid w:val="7592563B"/>
    <w:rsid w:val="75975441"/>
    <w:rsid w:val="75AC2DD7"/>
    <w:rsid w:val="77EB2DC3"/>
    <w:rsid w:val="791940F1"/>
    <w:rsid w:val="7C2137BC"/>
    <w:rsid w:val="7C352023"/>
    <w:rsid w:val="7CCB4907"/>
    <w:rsid w:val="7E356209"/>
    <w:rsid w:val="7E573A2D"/>
    <w:rsid w:val="7F461841"/>
    <w:rsid w:val="7F7F47B8"/>
  </w:rsids>
  <w:docVars>
    <w:docVar w:name="commondata" w:val="eyJoZGlkIjoiYmYxMzdhZmY3Zjg3NDY3OTJhMTcxZDdiYjE1ZmFjMG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qFormat="1"/>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Footer">
    <w:name w:val="footer"/>
    <w:basedOn w:val="Normal"/>
    <w:autoRedefine/>
    <w:qFormat/>
    <w:pPr>
      <w:tabs>
        <w:tab w:val="center" w:pos="4153"/>
        <w:tab w:val="right" w:pos="8306"/>
      </w:tabs>
      <w:snapToGrid w:val="0"/>
      <w:jc w:val="left"/>
    </w:pPr>
    <w:rPr>
      <w:sz w:val="18"/>
      <w:szCs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BodyTextIndent3">
    <w:name w:val="Body Text Indent 3"/>
    <w:basedOn w:val="Normal"/>
    <w:autoRedefine/>
    <w:qFormat/>
    <w:pPr>
      <w:spacing w:line="380" w:lineRule="exact"/>
      <w:ind w:firstLine="573"/>
    </w:pPr>
    <w:rPr>
      <w:rFonts w:ascii="仿宋_GB2312" w:eastAsia="仿宋_GB2312" w:hAnsi="华文仿宋"/>
      <w:sz w:val="24"/>
      <w:szCs w:val="28"/>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1672</Words>
  <Characters>1840</Characters>
  <Application>Microsoft Office Word</Application>
  <DocSecurity>0</DocSecurity>
  <Lines>15</Lines>
  <Paragraphs>4</Paragraphs>
  <ScaleCrop>false</ScaleCrop>
  <Company>微软中国</Company>
  <LinksUpToDate>false</LinksUpToDate>
  <CharactersWithSpaces>1930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格子达</cp:lastModifiedBy>
  <cp:revision>7</cp:revision>
  <dcterms:created xsi:type="dcterms:W3CDTF">2021-12-22T03:06:00Z</dcterms:created>
  <dcterms:modified xsi:type="dcterms:W3CDTF">2025-12-04T10:17:49Z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D8A1C177D1B34FA799BA5766C209E76D_13</vt:lpwstr>
  </property>
  <property fmtid="{D5CDD505-2E9C-101B-9397-08002B2CF9AE}" pid="3" name="KSOProductBuildVer">
    <vt:lpwstr>2052-12.1.0.23542</vt:lpwstr>
  </property>
  <property fmtid="{D5CDD505-2E9C-101B-9397-08002B2CF9AE}" pid="4" name="KSOTemplateDocerSaveRecord">
    <vt:lpwstr>eyJoZGlkIjoiN2NmZTgwNDViZTQ0YjU2ZmUzZWQ4N2ViMTA5MzJkYmQiLCJ1c2VySWQiOiIzMDAyMDM3MTcifQ==</vt:lpwstr>
  </property>
</Properties>
</file>