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五实证结果分析"/>
    <w:p>
      <w:pPr>
        <w:pStyle w:val="3"/>
      </w:pPr>
      <w:r>
        <w:rPr>
          <w:rFonts w:hint="eastAsia"/>
        </w:rPr>
        <w:t xml:space="preserve">五、实证结果分析</w:t>
      </w:r>
    </w:p>
    <w:bookmarkStart w:id="9" w:name="一基准回归结果分析"/>
    <w:p>
      <w:pPr>
        <w:pStyle w:val="4"/>
      </w:pPr>
      <w:r>
        <w:rPr>
          <w:rFonts w:hint="eastAsia"/>
        </w:rPr>
        <w:t xml:space="preserve">（一）基准回归结果分析</w:t>
      </w:r>
    </w:p>
    <w:p>
      <w:pPr>
        <w:pStyle w:val="FirstParagraph"/>
      </w:pPr>
      <w:r>
        <w:rPr>
          <w:rFonts w:hint="eastAsia"/>
        </w:rPr>
        <w:t xml:space="preserve">本节首先检验科创板做市商制度对科技企业定价效率的总体影响。基准回归采用多期</w:t>
      </w:r>
      <w:r>
        <w:t xml:space="preserve"> DID </w:t>
      </w:r>
      <w:r>
        <w:rPr>
          <w:rFonts w:hint="eastAsia"/>
        </w:rPr>
        <w:t xml:space="preserve">模型，在公司层面控制流通市值、市净率、换手率、杠杆率、ROA、研发强度、上市年龄和机构持股比例，并加入公司固定效应和年月固定效应，标准误按公司层面聚类。基准回归的有效样本量为</w:t>
      </w:r>
      <w:r>
        <w:t xml:space="preserve"> 8,526 </w:t>
      </w:r>
      <w:r>
        <w:rPr>
          <w:rFonts w:hint="eastAsia"/>
        </w:rPr>
        <w:t xml:space="preserve">个公司-月份观测值，结果见表</w:t>
      </w:r>
      <w:r>
        <w:t xml:space="preserve"> 5-1。</w:t>
      </w:r>
    </w:p>
    <w:p>
      <w:pPr>
        <w:pStyle w:val="BodyText"/>
      </w:pPr>
      <w:r>
        <w:rPr>
          <w:rFonts w:hint="eastAsia"/>
        </w:rPr>
        <w:t xml:space="preserve">表</w:t>
      </w:r>
      <w:r>
        <w:t xml:space="preserve"> 5-1 </w:t>
      </w:r>
      <w:r>
        <w:rPr>
          <w:rFonts w:hint="eastAsia"/>
        </w:rPr>
        <w:t xml:space="preserve">的结果显示，当以价格延迟（Price</w:t>
      </w:r>
      <w:r>
        <w:t xml:space="preserve"> </w:t>
      </w:r>
      <w:r>
        <w:rPr>
          <w:rFonts w:hint="eastAsia"/>
        </w:rPr>
        <w:t xml:space="preserve">Delay）为被解释变量时，核心解释变量</w:t>
      </w:r>
      <w:r>
        <w:t xml:space="preserve"> </w:t>
      </w:r>
      <w:r>
        <w:rPr>
          <w:rStyle w:val="VerbatimChar"/>
        </w:rPr>
        <w:t xml:space="preserve">DID</w:t>
      </w:r>
      <w:r>
        <w:t xml:space="preserve"> </w:t>
      </w:r>
      <w:r>
        <w:rPr>
          <w:rFonts w:hint="eastAsia"/>
        </w:rPr>
        <w:t xml:space="preserve">的估计系数为</w:t>
      </w:r>
      <w:r>
        <w:t xml:space="preserve"> </w:t>
      </w:r>
      <w:r>
        <w:rPr>
          <w:rFonts w:hint="eastAsia"/>
        </w:rPr>
        <w:t xml:space="preserve">0.0253，但未通过常规显著性检验。这说明在当前样本期内，做市商制度实施后，价格延迟指标并未出现统计意义上显著的下降。从主指标来看，暂时还不能据此认定做市商制度已经显著提高了科创板企业的价格调整速度。</w:t>
      </w:r>
    </w:p>
    <w:p>
      <w:pPr>
        <w:pStyle w:val="BodyText"/>
      </w:pPr>
      <w:r>
        <w:rPr>
          <w:rFonts w:hint="eastAsia"/>
        </w:rPr>
        <w:t xml:space="preserve">进一步看替代性定价效率指标的结果，可以得到更细致的判断。以股价同步性（SYNCH）为被解释变量时，</w:t>
      </w:r>
      <w:r>
        <w:rPr>
          <w:rStyle w:val="VerbatimChar"/>
        </w:rPr>
        <w:t xml:space="preserve">DID</w:t>
      </w:r>
      <w:r>
        <w:t xml:space="preserve"> </w:t>
      </w:r>
      <w:r>
        <w:rPr>
          <w:rFonts w:hint="eastAsia"/>
        </w:rPr>
        <w:t xml:space="preserve">的估计系数为</w:t>
      </w:r>
      <w:r>
        <w:t xml:space="preserve"> </w:t>
      </w:r>
      <w:r>
        <w:rPr>
          <w:rFonts w:hint="eastAsia"/>
        </w:rPr>
        <w:t xml:space="preserve">-0.174，并在</w:t>
      </w:r>
      <w:r>
        <w:t xml:space="preserve"> 5% </w:t>
      </w:r>
      <w:r>
        <w:rPr>
          <w:rFonts w:hint="eastAsia"/>
        </w:rPr>
        <w:t xml:space="preserve">水平上显著；以残差波动率（Residual</w:t>
      </w:r>
      <w:r>
        <w:t xml:space="preserve"> </w:t>
      </w:r>
      <w:r>
        <w:rPr>
          <w:rFonts w:hint="eastAsia"/>
        </w:rPr>
        <w:t xml:space="preserve">Volatility）为被解释变量时，</w:t>
      </w:r>
      <w:r>
        <w:rPr>
          <w:rStyle w:val="VerbatimChar"/>
        </w:rPr>
        <w:t xml:space="preserve">DID</w:t>
      </w:r>
      <w:r>
        <w:t xml:space="preserve"> </w:t>
      </w:r>
      <w:r>
        <w:rPr>
          <w:rFonts w:hint="eastAsia"/>
        </w:rPr>
        <w:t xml:space="preserve">的估计系数为</w:t>
      </w:r>
      <w:r>
        <w:t xml:space="preserve"> </w:t>
      </w:r>
      <w:r>
        <w:rPr>
          <w:rFonts w:hint="eastAsia"/>
        </w:rPr>
        <w:t xml:space="preserve">-0.0000278，但同样未达到常规显著性水平。由于</w:t>
      </w:r>
      <w:r>
        <w:t xml:space="preserve"> SYNCH </w:t>
      </w:r>
      <w:r>
        <w:rPr>
          <w:rFonts w:hint="eastAsia"/>
        </w:rPr>
        <w:t xml:space="preserve">数值越高通常表示股价越多反映市场共同信息、越少反映公司特质信息，因此该系数为负意味着进入做市后，个股收益与市场收益的同步性有所下降，股票价格中包含的公司层面信息有所增加。这个结果表明，做市商制度在改善信息反映效率方面表现出一定积极作用。</w:t>
      </w:r>
    </w:p>
    <w:p>
      <w:pPr>
        <w:pStyle w:val="BodyText"/>
      </w:pPr>
      <w:r>
        <w:rPr>
          <w:rFonts w:hint="eastAsia"/>
        </w:rPr>
        <w:t xml:space="preserve">控制变量的估计结果也与市场微观结构的一般认识基本一致。流通市值在价格延迟模型中显著为正，在股价同步性模型中显著为负，说明规模较大的企业在不同效率指标下呈现出的特征并不完全相同。换手率在三个模型中均高度显著，表明交易活跃度与定价效率密切相关，市场交易越活跃，价格对信息的吸收通常越充分。机构持股比例在价格延迟模型中显著为正、在</w:t>
      </w:r>
      <w:r>
        <w:t xml:space="preserve"> SYNCH </w:t>
      </w:r>
      <w:r>
        <w:rPr>
          <w:rFonts w:hint="eastAsia"/>
        </w:rPr>
        <w:t xml:space="preserve">模型中显著为负，也说明信息环境差异会影响股票价格对信息的反映方式。</w:t>
      </w:r>
    </w:p>
    <w:p>
      <w:pPr>
        <w:pStyle w:val="BodyText"/>
      </w:pPr>
      <w:r>
        <w:rPr>
          <w:rFonts w:hint="eastAsia"/>
        </w:rPr>
        <w:t xml:space="preserve">综合来看，基准回归并未在主指标价格延迟上给出显著支持，但在股价同步性这一替代指标上，做市商制度表现出改善定价效率的方向性证据。由此更稳妥的结论是，科创板做市商制度对科技企业定价效率的改善作用初步存在，但现阶段主要体现在降低股价同步性、提高公司特质信息含量这一维度上，而在价格延迟和残差波动率两个维度上的统计证据仍然偏弱。</w:t>
      </w:r>
    </w:p>
    <w:bookmarkEnd w:id="9"/>
    <w:bookmarkStart w:id="10" w:name="二事件研究与平行趋势检验"/>
    <w:p>
      <w:pPr>
        <w:pStyle w:val="4"/>
      </w:pPr>
      <w:r>
        <w:rPr>
          <w:rFonts w:hint="eastAsia"/>
        </w:rPr>
        <w:t xml:space="preserve">（二）事件研究与平行趋势检验</w:t>
      </w:r>
    </w:p>
    <w:p>
      <w:pPr>
        <w:pStyle w:val="FirstParagraph"/>
      </w:pPr>
      <w:r>
        <w:rPr>
          <w:rFonts w:hint="eastAsia"/>
        </w:rPr>
        <w:t xml:space="preserve">为了进一步考察做市商制度实施前后的动态影响，并检验基准回归的识别条件是否成立，本文在多期</w:t>
      </w:r>
      <w:r>
        <w:t xml:space="preserve"> DID </w:t>
      </w:r>
      <w:r>
        <w:rPr>
          <w:rFonts w:hint="eastAsia"/>
        </w:rPr>
        <w:t xml:space="preserve">的基础上构造事件研究模型，以首次纳入做市月份为事件时点，并以前</w:t>
      </w:r>
      <w:r>
        <w:t xml:space="preserve"> 1 </w:t>
      </w:r>
      <w:r>
        <w:rPr>
          <w:rFonts w:hint="eastAsia"/>
        </w:rPr>
        <w:t xml:space="preserve">个月作为基期。事件研究的有效样本量为</w:t>
      </w:r>
      <w:r>
        <w:t xml:space="preserve"> 4,041 </w:t>
      </w:r>
      <w:r>
        <w:rPr>
          <w:rFonts w:hint="eastAsia"/>
        </w:rPr>
        <w:t xml:space="preserve">个公司-月份观测值，估计结果见表</w:t>
      </w:r>
      <w:r>
        <w:t xml:space="preserve"> </w:t>
      </w:r>
      <w:r>
        <w:rPr>
          <w:rFonts w:hint="eastAsia"/>
        </w:rPr>
        <w:t xml:space="preserve">5-2，动态系数可进一步绘制为图</w:t>
      </w:r>
      <w:r>
        <w:t xml:space="preserve"> 5-1。</w:t>
      </w:r>
    </w:p>
    <w:p>
      <w:pPr>
        <w:pStyle w:val="BodyText"/>
      </w:pPr>
      <w:r>
        <w:rPr>
          <w:rFonts w:hint="eastAsia"/>
        </w:rPr>
        <w:t xml:space="preserve">从平行趋势检验结果看，三个被解释变量对应的前置期联合检验</w:t>
      </w:r>
      <w:r>
        <w:t xml:space="preserve"> </w:t>
      </w:r>
      <w:r>
        <w:rPr>
          <w:rStyle w:val="VerbatimChar"/>
        </w:rPr>
        <w:t xml:space="preserve">p</w:t>
      </w:r>
      <w:r>
        <w:t xml:space="preserve"> </w:t>
      </w:r>
      <w:r>
        <w:rPr>
          <w:rFonts w:hint="eastAsia"/>
        </w:rPr>
        <w:t xml:space="preserve">值分别为</w:t>
      </w:r>
      <w:r>
        <w:t xml:space="preserve"> 0.398、0.381 </w:t>
      </w:r>
      <w:r>
        <w:rPr>
          <w:rFonts w:hint="eastAsia"/>
        </w:rPr>
        <w:t xml:space="preserve">和</w:t>
      </w:r>
      <w:r>
        <w:t xml:space="preserve"> </w:t>
      </w:r>
      <w:r>
        <w:rPr>
          <w:rFonts w:hint="eastAsia"/>
        </w:rPr>
        <w:t xml:space="preserve">0.664，均未拒绝“事前系数联合为零”的原假设。这说明从整体上看，处理组与对照组在进入做市之前不存在系统性的差异趋势，基准</w:t>
      </w:r>
      <w:r>
        <w:t xml:space="preserve"> DID </w:t>
      </w:r>
      <w:r>
        <w:rPr>
          <w:rFonts w:hint="eastAsia"/>
        </w:rPr>
        <w:t xml:space="preserve">识别所依赖的平行趋势假设总体可以接受。需要说明的是，在个别前置期上，价格延迟和股价同步性的最早分组系数出现了边际显著，但联合检验结果并不显著，因此更适合将其理解为局部波动，而不能据此否定整体平行趋势条件。</w:t>
      </w:r>
    </w:p>
    <w:p>
      <w:pPr>
        <w:pStyle w:val="BodyText"/>
      </w:pPr>
      <w:r>
        <w:rPr>
          <w:rFonts w:hint="eastAsia"/>
        </w:rPr>
        <w:t xml:space="preserve">从动态效应看，做市制度实施当期和实施后的短期系数整体上并不显著。以价格延迟为例，事件当期系数为</w:t>
      </w:r>
      <w:r>
        <w:t xml:space="preserve"> </w:t>
      </w:r>
      <w:r>
        <w:rPr>
          <w:rFonts w:hint="eastAsia"/>
        </w:rPr>
        <w:t xml:space="preserve">0.0102，做市后第</w:t>
      </w:r>
      <w:r>
        <w:t xml:space="preserve"> 1 </w:t>
      </w:r>
      <w:r>
        <w:rPr>
          <w:rFonts w:hint="eastAsia"/>
        </w:rPr>
        <w:t xml:space="preserve">期系数为</w:t>
      </w:r>
      <w:r>
        <w:t xml:space="preserve"> </w:t>
      </w:r>
      <w:r>
        <w:rPr>
          <w:rFonts w:hint="eastAsia"/>
        </w:rPr>
        <w:t xml:space="preserve">-0.0229，做市后第</w:t>
      </w:r>
      <w:r>
        <w:t xml:space="preserve"> 2 </w:t>
      </w:r>
      <w:r>
        <w:rPr>
          <w:rFonts w:hint="eastAsia"/>
        </w:rPr>
        <w:t xml:space="preserve">期及以后合并系数为</w:t>
      </w:r>
      <w:r>
        <w:t xml:space="preserve"> </w:t>
      </w:r>
      <w:r>
        <w:rPr>
          <w:rFonts w:hint="eastAsia"/>
        </w:rPr>
        <w:t xml:space="preserve">0.0387，均未通过常规显著性检验。对于</w:t>
      </w:r>
      <w:r>
        <w:t xml:space="preserve"> SYNCH </w:t>
      </w:r>
      <w:r>
        <w:rPr>
          <w:rFonts w:hint="eastAsia"/>
        </w:rPr>
        <w:t xml:space="preserve">和残差波动率，做市后的动态系数也没有表现出显著而稳定的变化趋势。这表明做市商制度的影响并没有在进入做市后的短时间内迅速释放出来。</w:t>
      </w:r>
    </w:p>
    <w:p>
      <w:pPr>
        <w:pStyle w:val="BodyText"/>
      </w:pPr>
      <w:r>
        <w:rPr>
          <w:rFonts w:hint="eastAsia"/>
        </w:rPr>
        <w:t xml:space="preserve">事件研究结果与基准回归结论是基本一致的。一方面，事前联合检验支持平行趋势假设，说明基准模型的识别基础较为稳固；另一方面，做市后的动态效应没有表现出明显的即时冲击，说明做市商制度对定价效率的影响更可能是渐进式的，而不是在制度启动后立刻形成显著改善。结合这一结果，可以认为基准回归中观察到的方向性影响并不是由明显的事前趋势所驱动。</w:t>
      </w:r>
    </w:p>
    <w:bookmarkEnd w:id="10"/>
    <w:bookmarkStart w:id="11" w:name="三稳健性检验"/>
    <w:p>
      <w:pPr>
        <w:pStyle w:val="4"/>
      </w:pPr>
      <w:r>
        <w:rPr>
          <w:rFonts w:hint="eastAsia"/>
        </w:rPr>
        <w:t xml:space="preserve">（三）稳健性检验</w:t>
      </w:r>
    </w:p>
    <w:p>
      <w:pPr>
        <w:pStyle w:val="FirstParagraph"/>
      </w:pPr>
      <w:r>
        <w:rPr>
          <w:rFonts w:hint="eastAsia"/>
        </w:rPr>
        <w:t xml:space="preserve">为了检验基准结论是否依赖于特定指标口径或少数异常观测值，本文进一步从替换被解释变量、缩尾处理和安慰剂检验三个方面进行稳健性分析。相关结果分别见表</w:t>
      </w:r>
      <w:r>
        <w:t xml:space="preserve"> </w:t>
      </w:r>
      <w:r>
        <w:rPr>
          <w:rFonts w:hint="eastAsia"/>
        </w:rPr>
        <w:t xml:space="preserve">5-3、表</w:t>
      </w:r>
      <w:r>
        <w:t xml:space="preserve"> 5-4 </w:t>
      </w:r>
      <w:r>
        <w:rPr>
          <w:rFonts w:hint="eastAsia"/>
        </w:rPr>
        <w:t xml:space="preserve">和图</w:t>
      </w:r>
      <w:r>
        <w:t xml:space="preserve"> 5-2。</w:t>
      </w:r>
    </w:p>
    <w:p>
      <w:pPr>
        <w:pStyle w:val="BodyText"/>
      </w:pPr>
      <w:r>
        <w:rPr>
          <w:rFonts w:hint="eastAsia"/>
        </w:rPr>
        <w:t xml:space="preserve">第一，替换被解释变量的结果总体延续了基准回归的判断。以</w:t>
      </w:r>
      <w:r>
        <w:t xml:space="preserve"> SYNCH </w:t>
      </w:r>
      <w:r>
        <w:rPr>
          <w:rFonts w:hint="eastAsia"/>
        </w:rPr>
        <w:t xml:space="preserve">为被解释变量时，</w:t>
      </w:r>
      <w:r>
        <w:rPr>
          <w:rStyle w:val="VerbatimChar"/>
        </w:rPr>
        <w:t xml:space="preserve">DID</w:t>
      </w:r>
      <w:r>
        <w:t xml:space="preserve"> </w:t>
      </w:r>
      <w:r>
        <w:rPr>
          <w:rFonts w:hint="eastAsia"/>
        </w:rPr>
        <w:t xml:space="preserve">的估计系数为</w:t>
      </w:r>
      <w:r>
        <w:t xml:space="preserve"> </w:t>
      </w:r>
      <w:r>
        <w:rPr>
          <w:rFonts w:hint="eastAsia"/>
        </w:rPr>
        <w:t xml:space="preserve">-0.174，并在</w:t>
      </w:r>
      <w:r>
        <w:t xml:space="preserve"> 5% </w:t>
      </w:r>
      <w:r>
        <w:rPr>
          <w:rFonts w:hint="eastAsia"/>
        </w:rPr>
        <w:t xml:space="preserve">水平上显著；以残差波动率为被解释变量时，</w:t>
      </w:r>
      <w:r>
        <w:rPr>
          <w:rStyle w:val="VerbatimChar"/>
        </w:rPr>
        <w:t xml:space="preserve">DID</w:t>
      </w:r>
      <w:r>
        <w:t xml:space="preserve"> </w:t>
      </w:r>
      <w:r>
        <w:rPr>
          <w:rFonts w:hint="eastAsia"/>
        </w:rPr>
        <w:t xml:space="preserve">的估计系数为</w:t>
      </w:r>
      <w:r>
        <w:t xml:space="preserve"> </w:t>
      </w:r>
      <w:r>
        <w:rPr>
          <w:rFonts w:hint="eastAsia"/>
        </w:rPr>
        <w:t xml:space="preserve">-0.0000278，但未通过常规显著性检验。这个结果说明，只要从股价同步性角度衡量定价效率，做市商制度的改善作用仍然成立；但如果改用残差波动率衡量，这种改善作用尚未形成足够强的统计支持。</w:t>
      </w:r>
    </w:p>
    <w:p>
      <w:pPr>
        <w:pStyle w:val="BodyText"/>
      </w:pPr>
      <w:r>
        <w:rPr>
          <w:rFonts w:hint="eastAsia"/>
        </w:rPr>
        <w:t xml:space="preserve">第二，对被解释变量和连续控制变量进行</w:t>
      </w:r>
      <w:r>
        <w:t xml:space="preserve"> 1% </w:t>
      </w:r>
      <w:r>
        <w:rPr>
          <w:rFonts w:hint="eastAsia"/>
        </w:rPr>
        <w:t xml:space="preserve">和</w:t>
      </w:r>
      <w:r>
        <w:t xml:space="preserve"> 99% </w:t>
      </w:r>
      <w:r>
        <w:rPr>
          <w:rFonts w:hint="eastAsia"/>
        </w:rPr>
        <w:t xml:space="preserve">分位数缩尾后，主要结论没有发生实质变化。缩尾后的回归结果显示，价格延迟模型中</w:t>
      </w:r>
      <w:r>
        <w:t xml:space="preserve"> </w:t>
      </w:r>
      <w:r>
        <w:rPr>
          <w:rStyle w:val="VerbatimChar"/>
        </w:rPr>
        <w:t xml:space="preserve">DID</w:t>
      </w:r>
      <w:r>
        <w:t xml:space="preserve"> </w:t>
      </w:r>
      <w:r>
        <w:rPr>
          <w:rFonts w:hint="eastAsia"/>
        </w:rPr>
        <w:t xml:space="preserve">的系数为</w:t>
      </w:r>
      <w:r>
        <w:t xml:space="preserve"> </w:t>
      </w:r>
      <w:r>
        <w:rPr>
          <w:rFonts w:hint="eastAsia"/>
        </w:rPr>
        <w:t xml:space="preserve">0.0247，仍不显著；SYNCH</w:t>
      </w:r>
      <w:r>
        <w:t xml:space="preserve"> </w:t>
      </w:r>
      <w:r>
        <w:rPr>
          <w:rFonts w:hint="eastAsia"/>
        </w:rPr>
        <w:t xml:space="preserve">模型中</w:t>
      </w:r>
      <w:r>
        <w:t xml:space="preserve"> </w:t>
      </w:r>
      <w:r>
        <w:rPr>
          <w:rStyle w:val="VerbatimChar"/>
        </w:rPr>
        <w:t xml:space="preserve">DID</w:t>
      </w:r>
      <w:r>
        <w:t xml:space="preserve"> </w:t>
      </w:r>
      <w:r>
        <w:rPr>
          <w:rFonts w:hint="eastAsia"/>
        </w:rPr>
        <w:t xml:space="preserve">的系数为</w:t>
      </w:r>
      <w:r>
        <w:t xml:space="preserve"> </w:t>
      </w:r>
      <w:r>
        <w:rPr>
          <w:rFonts w:hint="eastAsia"/>
        </w:rPr>
        <w:t xml:space="preserve">-0.168，且仍在</w:t>
      </w:r>
      <w:r>
        <w:t xml:space="preserve"> 5% </w:t>
      </w:r>
      <w:r>
        <w:rPr>
          <w:rFonts w:hint="eastAsia"/>
        </w:rPr>
        <w:t xml:space="preserve">水平上显著；残差波动率模型中</w:t>
      </w:r>
      <w:r>
        <w:t xml:space="preserve"> </w:t>
      </w:r>
      <w:r>
        <w:rPr>
          <w:rStyle w:val="VerbatimChar"/>
        </w:rPr>
        <w:t xml:space="preserve">DID</w:t>
      </w:r>
      <w:r>
        <w:t xml:space="preserve"> </w:t>
      </w:r>
      <w:r>
        <w:rPr>
          <w:rFonts w:hint="eastAsia"/>
        </w:rPr>
        <w:t xml:space="preserve">的系数为</w:t>
      </w:r>
      <w:r>
        <w:t xml:space="preserve"> </w:t>
      </w:r>
      <w:r>
        <w:rPr>
          <w:rFonts w:hint="eastAsia"/>
        </w:rPr>
        <w:t xml:space="preserve">-0.0000104，仍未达到常规显著性水平。这说明基准结论并不是由少数极端值驱动，做市商制度降低股价同步性的发现具有一定稳健性。</w:t>
      </w:r>
    </w:p>
    <w:p>
      <w:pPr>
        <w:pStyle w:val="BodyText"/>
      </w:pPr>
      <w:r>
        <w:rPr>
          <w:rFonts w:hint="eastAsia"/>
        </w:rPr>
        <w:t xml:space="preserve">第三，本文采用随机化安慰剂方法检验估计结果是否可能来自随机分配。具体做法是，在保持处理组数量与真实样本一致的前提下，从真实做市月份分布中随机抽取伪处理时点，并重复置换</w:t>
      </w:r>
      <w:r>
        <w:t xml:space="preserve"> 300 </w:t>
      </w:r>
      <w:r>
        <w:rPr>
          <w:rFonts w:hint="eastAsia"/>
        </w:rPr>
        <w:t xml:space="preserve">次，将真实</w:t>
      </w:r>
      <w:r>
        <w:t xml:space="preserve"> DID </w:t>
      </w:r>
      <w:r>
        <w:rPr>
          <w:rFonts w:hint="eastAsia"/>
        </w:rPr>
        <w:t xml:space="preserve">系数与伪系数分布进行比较。结果显示，价格延迟、SYNCH</w:t>
      </w:r>
      <w:r>
        <w:t xml:space="preserve"> </w:t>
      </w:r>
      <w:r>
        <w:rPr>
          <w:rFonts w:hint="eastAsia"/>
        </w:rPr>
        <w:t xml:space="preserve">和残差波动率对应的经验</w:t>
      </w:r>
      <w:r>
        <w:t xml:space="preserve"> </w:t>
      </w:r>
      <w:r>
        <w:rPr>
          <w:rStyle w:val="VerbatimChar"/>
        </w:rPr>
        <w:t xml:space="preserve">p</w:t>
      </w:r>
      <w:r>
        <w:t xml:space="preserve"> </w:t>
      </w:r>
      <w:r>
        <w:rPr>
          <w:rFonts w:hint="eastAsia"/>
        </w:rPr>
        <w:t xml:space="preserve">值分别为</w:t>
      </w:r>
      <w:r>
        <w:t xml:space="preserve"> 0.767、0.547 </w:t>
      </w:r>
      <w:r>
        <w:rPr>
          <w:rFonts w:hint="eastAsia"/>
        </w:rPr>
        <w:t xml:space="preserve">和</w:t>
      </w:r>
      <w:r>
        <w:t xml:space="preserve"> </w:t>
      </w:r>
      <w:r>
        <w:rPr>
          <w:rFonts w:hint="eastAsia"/>
        </w:rPr>
        <w:t xml:space="preserve">0.693，均处于较高水平。这意味着真实估计值并未显著偏离随机置换形成的系数分布，因此安慰剂检验没有提供额外的强支持证据。</w:t>
      </w:r>
    </w:p>
    <w:p>
      <w:pPr>
        <w:pStyle w:val="BodyText"/>
      </w:pPr>
      <w:r>
        <w:rPr>
          <w:rFonts w:hint="eastAsia"/>
        </w:rPr>
        <w:t xml:space="preserve">综合三类稳健性检验可以看出，做市商制度影响定价效率的方向总体是稳定的，尤其是在</w:t>
      </w:r>
      <w:r>
        <w:t xml:space="preserve"> SYNCH </w:t>
      </w:r>
      <w:r>
        <w:rPr>
          <w:rFonts w:hint="eastAsia"/>
        </w:rPr>
        <w:t xml:space="preserve">指标下，负向系数在基准回归和缩尾回归中都得到了保留。不过，主指标价格延迟和残差波动率始终没有形成显著结果，随机化安慰剂检验的支持力度也较弱。因此，对本文结论更合适的表述是：科创板做市商制度可能有助于改善科技企业的定价效率，但这一作用目前主要表现为降低股价同步性，其统计证据仍属于有限支持，而不是在所有检验口径下都表现出一致而强烈的显著性。</w:t>
      </w:r>
    </w:p>
    <w:bookmarkEnd w:id="11"/>
    <w:bookmarkStart w:id="12" w:name="四异质性分析"/>
    <w:p>
      <w:pPr>
        <w:pStyle w:val="4"/>
      </w:pPr>
      <w:r>
        <w:rPr>
          <w:rFonts w:hint="eastAsia"/>
        </w:rPr>
        <w:t xml:space="preserve">（四）异质性分析</w:t>
      </w:r>
    </w:p>
    <w:p>
      <w:pPr>
        <w:pStyle w:val="FirstParagraph"/>
      </w:pPr>
      <w:r>
        <w:rPr>
          <w:rFonts w:hint="eastAsia"/>
        </w:rPr>
        <w:t xml:space="preserve">考虑到不同企业在交易活跃度、信息环境和投资者关注程度上存在明显差异，做市商制度的影响可能并不完全相同。为此，本文分别按企业规模和信息透明度进行分组回归。其中，企业规模以流通市值对数</w:t>
      </w:r>
      <w:r>
        <w:t xml:space="preserve"> </w:t>
      </w:r>
      <w:r>
        <w:rPr>
          <w:rStyle w:val="VerbatimChar"/>
        </w:rPr>
        <w:t xml:space="preserve">ln_cir_mktcap</w:t>
      </w:r>
      <w:r>
        <w:t xml:space="preserve"> </w:t>
      </w:r>
      <w:r>
        <w:rPr>
          <w:rFonts w:hint="eastAsia"/>
        </w:rPr>
        <w:t xml:space="preserve">的全样本中位数为界划分为大市值组和小市值组；信息透明度以机构持股比例</w:t>
      </w:r>
      <w:r>
        <w:t xml:space="preserve"> </w:t>
      </w:r>
      <w:r>
        <w:rPr>
          <w:rStyle w:val="VerbatimChar"/>
        </w:rPr>
        <w:t xml:space="preserve">inst_hold</w:t>
      </w:r>
      <w:r>
        <w:t xml:space="preserve"> </w:t>
      </w:r>
      <w:r>
        <w:rPr>
          <w:rFonts w:hint="eastAsia"/>
        </w:rPr>
        <w:t xml:space="preserve">的全样本中位数为界划分为高信息透明度组和低信息透明度组。分组回归仍采用与基准模型一致的多期</w:t>
      </w:r>
      <w:r>
        <w:t xml:space="preserve"> DID </w:t>
      </w:r>
      <w:r>
        <w:rPr>
          <w:rFonts w:hint="eastAsia"/>
        </w:rPr>
        <w:t xml:space="preserve">设定，结果分别见表</w:t>
      </w:r>
      <w:r>
        <w:t xml:space="preserve"> 5-5 </w:t>
      </w:r>
      <w:r>
        <w:rPr>
          <w:rFonts w:hint="eastAsia"/>
        </w:rPr>
        <w:t xml:space="preserve">和表</w:t>
      </w:r>
      <w:r>
        <w:t xml:space="preserve"> 5-6。</w:t>
      </w:r>
    </w:p>
    <w:p>
      <w:pPr>
        <w:pStyle w:val="BodyText"/>
      </w:pPr>
      <w:r>
        <w:rPr>
          <w:rFonts w:hint="eastAsia"/>
        </w:rPr>
        <w:t xml:space="preserve">从规模异质性结果看，小市值组中</w:t>
      </w:r>
      <w:r>
        <w:t xml:space="preserve"> </w:t>
      </w:r>
      <w:r>
        <w:rPr>
          <w:rStyle w:val="VerbatimChar"/>
        </w:rPr>
        <w:t xml:space="preserve">DID</w:t>
      </w:r>
      <w:r>
        <w:t xml:space="preserve"> </w:t>
      </w:r>
      <w:r>
        <w:rPr>
          <w:rFonts w:hint="eastAsia"/>
        </w:rPr>
        <w:t xml:space="preserve">的估计系数为</w:t>
      </w:r>
      <w:r>
        <w:t xml:space="preserve"> </w:t>
      </w:r>
      <w:r>
        <w:rPr>
          <w:rFonts w:hint="eastAsia"/>
        </w:rPr>
        <w:t xml:space="preserve">-0.0350，大市值组中</w:t>
      </w:r>
      <w:r>
        <w:t xml:space="preserve"> </w:t>
      </w:r>
      <w:r>
        <w:rPr>
          <w:rStyle w:val="VerbatimChar"/>
        </w:rPr>
        <w:t xml:space="preserve">DID</w:t>
      </w:r>
      <w:r>
        <w:t xml:space="preserve"> </w:t>
      </w:r>
      <w:r>
        <w:rPr>
          <w:rFonts w:hint="eastAsia"/>
        </w:rPr>
        <w:t xml:space="preserve">的估计系数为</w:t>
      </w:r>
      <w:r>
        <w:t xml:space="preserve"> </w:t>
      </w:r>
      <w:r>
        <w:rPr>
          <w:rFonts w:hint="eastAsia"/>
        </w:rPr>
        <w:t xml:space="preserve">0.0255，但两组结果都未达到常规显著性水平。仅从方向上判断，做市商制度对小市值企业的价格延迟可能存在一定改善倾向，而对大市值企业则未表现出类似迹象。一个可能的解释是，小市值企业原本面临更高的信息不对称和更弱的交易活跃度，因此做市商进入后，其边际改善空间相对更大。不过，由于统计显著性不足，这一判断只能作为方向性线索，不能上升为确定性结论。</w:t>
      </w:r>
    </w:p>
    <w:p>
      <w:pPr>
        <w:pStyle w:val="BodyText"/>
      </w:pPr>
      <w:r>
        <w:rPr>
          <w:rFonts w:hint="eastAsia"/>
        </w:rPr>
        <w:t xml:space="preserve">从信息透明度异质性结果看，低信息透明度组中</w:t>
      </w:r>
      <w:r>
        <w:t xml:space="preserve"> </w:t>
      </w:r>
      <w:r>
        <w:rPr>
          <w:rStyle w:val="VerbatimChar"/>
        </w:rPr>
        <w:t xml:space="preserve">DID</w:t>
      </w:r>
      <w:r>
        <w:t xml:space="preserve"> </w:t>
      </w:r>
      <w:r>
        <w:rPr>
          <w:rFonts w:hint="eastAsia"/>
        </w:rPr>
        <w:t xml:space="preserve">的估计系数为</w:t>
      </w:r>
      <w:r>
        <w:t xml:space="preserve"> </w:t>
      </w:r>
      <w:r>
        <w:rPr>
          <w:rFonts w:hint="eastAsia"/>
        </w:rPr>
        <w:t xml:space="preserve">-0.0386，高信息透明度组中</w:t>
      </w:r>
      <w:r>
        <w:t xml:space="preserve"> </w:t>
      </w:r>
      <w:r>
        <w:rPr>
          <w:rStyle w:val="VerbatimChar"/>
        </w:rPr>
        <w:t xml:space="preserve">DID</w:t>
      </w:r>
      <w:r>
        <w:t xml:space="preserve"> </w:t>
      </w:r>
      <w:r>
        <w:rPr>
          <w:rFonts w:hint="eastAsia"/>
        </w:rPr>
        <w:t xml:space="preserve">的估计系数为</w:t>
      </w:r>
      <w:r>
        <w:t xml:space="preserve"> </w:t>
      </w:r>
      <w:r>
        <w:rPr>
          <w:rFonts w:hint="eastAsia"/>
        </w:rPr>
        <w:t xml:space="preserve">0.0493，两组系数同样都不显著。从方向上看，做市商制度似乎更可能改善信息透明度较低企业的定价效率，而对信息透明度较高企业的边际影响较弱。这与理论分析具有一定一致性，因为高信息透明度企业本身已经拥有较好的信息披露和市场关注基础，做市制度能够带来的增量作用有限；相反，低信息透明度企业更可能通过连续报价、交易撮合和信息传导改善受益。</w:t>
      </w:r>
    </w:p>
    <w:p>
      <w:pPr>
        <w:pStyle w:val="BodyText"/>
      </w:pPr>
      <w:r>
        <w:rPr>
          <w:rFonts w:hint="eastAsia"/>
        </w:rPr>
        <w:t xml:space="preserve">总体而言，异质性分析没有给出强统计证据，但呈现出较为一致的方向性特征，即做市商制度对小市值企业和低信息透明度企业的改善倾向相对更强。这个结果说明，做市商制度的作用可能更多体现在原本信息摩擦较强、市场关注度较低的企业上。不过，在分组回归均未显著的情况下，本文更倾向于将其理解为初步异质性迹象，而不是稳固的经验结论。</w:t>
      </w:r>
    </w:p>
    <w:bookmarkEnd w:id="12"/>
    <w:bookmarkStart w:id="13" w:name="五小结"/>
    <w:p>
      <w:pPr>
        <w:pStyle w:val="4"/>
      </w:pPr>
      <w:r>
        <w:rPr>
          <w:rFonts w:hint="eastAsia"/>
        </w:rPr>
        <w:t xml:space="preserve">（五）小结</w:t>
      </w:r>
    </w:p>
    <w:p>
      <w:pPr>
        <w:pStyle w:val="FirstParagraph"/>
      </w:pPr>
      <w:r>
        <w:rPr>
          <w:rFonts w:hint="eastAsia"/>
        </w:rPr>
        <w:t xml:space="preserve">本章围绕科创板做市商制度对科技企业定价效率的影响进行了系统检验。基准回归结果表明，做市商制度在价格延迟指标下未呈现显著改善，但在股价同步性指标下表现出显著负向影响，说明做市商制度可能有助于降低个股与市场的同步波动、提高公司特质信息进入价格的程度。事件研究进一步表明，处理组与对照组在做市前不存在显著的系统性趋势差异，平行趋势假设总体成立，而做市后的制度影响更可能是渐进释放的。稳健性检验说明主要结果在替换因变量和缩尾处理后仍具有一定一致性，但安慰剂检验未提供额外的强支持。异质性分析则显示，小市值企业和低信息透明度企业可能具有更强的改善倾向，不过这一证据仍然偏弱。总体来看，现有实证结果支持“科创板做市商制度对科技企业定价效率具有初步改善作用”这一判断，但这一作用目前仍主要体现为有限而方向明确的经验支持。</w:t>
      </w:r>
    </w:p>
    <w:bookmarkEnd w:id="13"/>
    <w:bookmarkStart w:id="14" w:name="六本章表图标题建议"/>
    <w:p>
      <w:pPr>
        <w:pStyle w:val="4"/>
      </w:pPr>
      <w:r>
        <w:rPr>
          <w:rFonts w:hint="eastAsia"/>
        </w:rPr>
        <w:t xml:space="preserve">（六）本章表图标题建议</w:t>
      </w:r>
    </w:p>
    <w:p>
      <w:pPr>
        <w:pStyle w:val="FirstParagraph"/>
      </w:pPr>
      <w:r>
        <w:rPr>
          <w:rFonts w:hint="eastAsia"/>
        </w:rPr>
        <w:t xml:space="preserve">为便于后续排版，本章对应实证结果表和图可按如下标题设置：</w:t>
      </w:r>
    </w:p>
    <w:p>
      <w:pPr>
        <w:pStyle w:val="BodyText"/>
      </w:pPr>
      <w:r>
        <w:rPr>
          <w:rFonts w:hint="eastAsia"/>
        </w:rPr>
        <w:t xml:space="preserve">表</w:t>
      </w:r>
      <w:r>
        <w:t xml:space="preserve"> 5-1 </w:t>
      </w:r>
      <w:r>
        <w:rPr>
          <w:rFonts w:hint="eastAsia"/>
        </w:rPr>
        <w:t xml:space="preserve">科创板做市商制度对企业定价效率影响的基准回归结果</w:t>
      </w:r>
    </w:p>
    <w:p>
      <w:pPr>
        <w:pStyle w:val="BodyText"/>
      </w:pPr>
      <w:r>
        <w:rPr>
          <w:rFonts w:hint="eastAsia"/>
        </w:rPr>
        <w:t xml:space="preserve">表</w:t>
      </w:r>
      <w:r>
        <w:t xml:space="preserve"> 5-2 </w:t>
      </w:r>
      <w:r>
        <w:rPr>
          <w:rFonts w:hint="eastAsia"/>
        </w:rPr>
        <w:t xml:space="preserve">科创板做市商制度对企业定价效率影响的事件研究结果</w:t>
      </w:r>
    </w:p>
    <w:p>
      <w:pPr>
        <w:pStyle w:val="BodyText"/>
      </w:pPr>
      <w:r>
        <w:rPr>
          <w:rFonts w:hint="eastAsia"/>
        </w:rPr>
        <w:t xml:space="preserve">表</w:t>
      </w:r>
      <w:r>
        <w:t xml:space="preserve"> 5-3 </w:t>
      </w:r>
      <w:r>
        <w:rPr>
          <w:rFonts w:hint="eastAsia"/>
        </w:rPr>
        <w:t xml:space="preserve">替换被解释变量的稳健性检验结果</w:t>
      </w:r>
    </w:p>
    <w:p>
      <w:pPr>
        <w:pStyle w:val="BodyText"/>
      </w:pPr>
      <w:r>
        <w:rPr>
          <w:rFonts w:hint="eastAsia"/>
        </w:rPr>
        <w:t xml:space="preserve">表</w:t>
      </w:r>
      <w:r>
        <w:t xml:space="preserve"> 5-4 </w:t>
      </w:r>
      <w:r>
        <w:rPr>
          <w:rFonts w:hint="eastAsia"/>
        </w:rPr>
        <w:t xml:space="preserve">缩尾处理后的稳健性检验结果</w:t>
      </w:r>
    </w:p>
    <w:p>
      <w:pPr>
        <w:pStyle w:val="BodyText"/>
      </w:pPr>
      <w:r>
        <w:rPr>
          <w:rFonts w:hint="eastAsia"/>
        </w:rPr>
        <w:t xml:space="preserve">表</w:t>
      </w:r>
      <w:r>
        <w:t xml:space="preserve"> 5-5 </w:t>
      </w:r>
      <w:r>
        <w:rPr>
          <w:rFonts w:hint="eastAsia"/>
        </w:rPr>
        <w:t xml:space="preserve">按企业规模分组的异质性分析结果</w:t>
      </w:r>
    </w:p>
    <w:p>
      <w:pPr>
        <w:pStyle w:val="BodyText"/>
      </w:pPr>
      <w:r>
        <w:rPr>
          <w:rFonts w:hint="eastAsia"/>
        </w:rPr>
        <w:t xml:space="preserve">表</w:t>
      </w:r>
      <w:r>
        <w:t xml:space="preserve"> 5-6 </w:t>
      </w:r>
      <w:r>
        <w:rPr>
          <w:rFonts w:hint="eastAsia"/>
        </w:rPr>
        <w:t xml:space="preserve">按信息透明度分组的异质性分析结果</w:t>
      </w:r>
    </w:p>
    <w:p>
      <w:pPr>
        <w:pStyle w:val="BodyText"/>
      </w:pPr>
      <w:r>
        <w:rPr>
          <w:rFonts w:hint="eastAsia"/>
        </w:rPr>
        <w:t xml:space="preserve">图</w:t>
      </w:r>
      <w:r>
        <w:t xml:space="preserve"> 5-1 </w:t>
      </w:r>
      <w:r>
        <w:rPr>
          <w:rFonts w:hint="eastAsia"/>
        </w:rPr>
        <w:t xml:space="preserve">做市商制度影响定价效率的动态效应图</w:t>
      </w:r>
    </w:p>
    <w:p>
      <w:pPr>
        <w:pStyle w:val="BodyText"/>
      </w:pPr>
      <w:r>
        <w:rPr>
          <w:rFonts w:hint="eastAsia"/>
        </w:rPr>
        <w:t xml:space="preserve">图</w:t>
      </w:r>
      <w:r>
        <w:t xml:space="preserve"> 5-2 </w:t>
      </w:r>
      <w:r>
        <w:rPr>
          <w:rFonts w:hint="eastAsia"/>
        </w:rPr>
        <w:t xml:space="preserve">安慰剂检验结果图</w:t>
      </w:r>
    </w:p>
    <w:p>
      <w:pPr>
        <w:pStyle w:val="BodyText"/>
      </w:pPr>
      <w:r>
        <w:rPr>
          <w:rFonts w:hint="eastAsia"/>
        </w:rPr>
        <w:t xml:space="preserve">如果需要在表下注明统一说明，可采用以下写法：</w:t>
      </w:r>
    </w:p>
    <w:p>
      <w:pPr>
        <w:pStyle w:val="BodyText"/>
      </w:pPr>
      <w:r>
        <w:rPr>
          <w:rFonts w:hint="eastAsia"/>
        </w:rPr>
        <w:t xml:space="preserve">注：括号内为按公司层面聚类的稳健标准误；</w:t>
      </w:r>
      <w:r>
        <w:rPr>
          <w:rStyle w:val="VerbatimChar"/>
        </w:rPr>
        <w:t xml:space="preserve">*</w:t>
      </w:r>
      <w:r>
        <w:t xml:space="preserve">、</w:t>
      </w:r>
      <w:r>
        <w:rPr>
          <w:rStyle w:val="VerbatimChar"/>
        </w:rPr>
        <w:t xml:space="preserve">**</w:t>
      </w:r>
      <w:r>
        <w:t xml:space="preserve"> </w:t>
      </w:r>
      <w:r>
        <w:rPr>
          <w:rFonts w:hint="eastAsia"/>
        </w:rPr>
        <w:t xml:space="preserve">和</w:t>
      </w:r>
      <w:r>
        <w:t xml:space="preserve"> </w:t>
      </w:r>
      <w:r>
        <w:rPr>
          <w:rStyle w:val="VerbatimChar"/>
        </w:rPr>
        <w:t xml:space="preserve">***</w:t>
      </w:r>
      <w:r>
        <w:t xml:space="preserve"> </w:t>
      </w:r>
      <w:r>
        <w:rPr>
          <w:rFonts w:hint="eastAsia"/>
        </w:rPr>
        <w:t xml:space="preserve">分别表示在</w:t>
      </w:r>
      <w:r>
        <w:t xml:space="preserve"> 10%、5% </w:t>
      </w:r>
      <w:r>
        <w:rPr>
          <w:rFonts w:hint="eastAsia"/>
        </w:rPr>
        <w:t xml:space="preserve">和</w:t>
      </w:r>
      <w:r>
        <w:t xml:space="preserve"> 1% </w:t>
      </w:r>
      <w:r>
        <w:rPr>
          <w:rFonts w:hint="eastAsia"/>
        </w:rPr>
        <w:t xml:space="preserve">的显著性水平上显著。除特别说明外，所有回归均控制公司固定效应和年月固定效应。</w:t>
      </w:r>
    </w:p>
    <w:bookmarkEnd w:id="14"/>
    <w:bookmarkEnd w:id="15"/>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黑">
    <w:altName w:val="黑体"/>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3336C"/>
    <w:rsid w:val="3113336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60" w:lineRule="auto"/>
      <w:ind w:firstLine="883" w:firstLineChars="200"/>
      <w:jc w:val="both"/>
    </w:pPr>
    <w:rPr>
      <w:rFonts w:ascii="Times New Roman" w:cstheme="minorBidi" w:eastAsia="宋体" w:hAnsi="Times New Roman"/>
      <w:kern w:val="2"/>
      <w:sz w:val="24"/>
      <w:szCs w:val="24"/>
      <w:lang w:bidi="ar-SA" w:eastAsia="zh-CN" w:val="en-US"/>
    </w:rPr>
  </w:style>
  <w:style w:styleId="2" w:type="paragraph">
    <w:name w:val="heading 1"/>
    <w:basedOn w:val="1"/>
    <w:next w:val="1"/>
    <w:qFormat/>
    <w:uiPriority w:val="0"/>
    <w:pPr>
      <w:keepNext/>
      <w:keepLines/>
      <w:spacing w:after="330" w:afterAutospacing="0" w:afterLines="0" w:before="340" w:beforeAutospacing="0" w:beforeLines="0" w:line="360" w:lineRule="auto"/>
      <w:outlineLvl w:val="0"/>
    </w:pPr>
    <w:rPr>
      <w:rFonts w:asciiTheme="minorAscii" w:hAnsiTheme="minorAscii"/>
      <w:b/>
      <w:kern w:val="44"/>
      <w:sz w:val="44"/>
    </w:rPr>
  </w:style>
  <w:style w:styleId="3" w:type="paragraph">
    <w:name w:val="heading 2"/>
    <w:basedOn w:val="1"/>
    <w:next w:val="1"/>
    <w:semiHidden/>
    <w:unhideWhenUsed/>
    <w:qFormat/>
    <w:uiPriority w:val="0"/>
    <w:pPr>
      <w:keepNext/>
      <w:keepLines/>
      <w:spacing w:after="260" w:afterAutospacing="0" w:afterLines="0" w:before="260" w:beforeAutospacing="0" w:beforeLines="0" w:line="360" w:lineRule="auto"/>
      <w:ind w:firstLine="883" w:firstLineChars="200"/>
      <w:outlineLvl w:val="1"/>
    </w:pPr>
    <w:rPr>
      <w:rFonts w:ascii="Arial" w:eastAsia="宋体" w:hAnsi="Arial"/>
      <w:b/>
      <w:sz w:val="28"/>
    </w:rPr>
  </w:style>
  <w:style w:styleId="4" w:type="paragraph">
    <w:name w:val="heading 3"/>
    <w:basedOn w:val="1"/>
    <w:next w:val="1"/>
    <w:semiHidden/>
    <w:unhideWhenUsed/>
    <w:qFormat/>
    <w:uiPriority w:val="0"/>
    <w:pPr>
      <w:keepNext/>
      <w:keepLines/>
      <w:spacing w:after="260" w:afterAutospacing="0" w:afterLines="0" w:before="260" w:beforeAutospacing="0" w:beforeLines="0" w:line="360" w:lineRule="auto"/>
      <w:ind w:firstLine="1325" w:firstLineChars="300"/>
      <w:outlineLvl w:val="2"/>
    </w:pPr>
    <w:rPr>
      <w:rFonts w:asciiTheme="minorAscii" w:eastAsia="宋体" w:hAnsiTheme="minorAscii"/>
      <w:b/>
      <w:sz w:val="24"/>
    </w:rPr>
  </w:style>
  <w:style w:styleId="5" w:type="paragraph">
    <w:name w:val="heading 4"/>
    <w:basedOn w:val="1"/>
    <w:next w:val="1"/>
    <w:semiHidden/>
    <w:unhideWhenUsed/>
    <w:qFormat/>
    <w:uiPriority w:val="0"/>
    <w:pPr>
      <w:keepNext/>
      <w:keepLines/>
      <w:spacing w:after="290" w:afterAutospacing="0" w:afterLines="0" w:before="280" w:beforeAutospacing="0" w:beforeLines="0" w:line="360" w:lineRule="auto"/>
      <w:ind w:firstLine="1325" w:firstLineChars="300"/>
      <w:outlineLvl w:val="3"/>
    </w:pPr>
    <w:rPr>
      <w:rFonts w:ascii="Arial" w:eastAsia="宋体" w:hAnsi="Arial"/>
      <w:b/>
      <w:sz w:val="24"/>
    </w:rPr>
  </w:style>
  <w:style w:default="1" w:styleId="7" w:type="character">
    <w:name w:val="Default Paragraph Font"/>
    <w:semiHidden/>
    <w:uiPriority w:val="0"/>
  </w:style>
  <w:style w:default="1" w:styleId="6" w:type="table">
    <w:name w:val="Normal Table"/>
    <w:semiHidden/>
    <w:qFormat/>
    <w:uiPriority w:val="0"/>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2026-04-16T15:36:07Z</dcterms:created>
  <dcterms:modified xsi:type="dcterms:W3CDTF">2026-04-16T15:36:07Z</dcterms:modified>
</cp:coreProperties>
</file>

<file path=docProps/custom.xml><?xml version="1.0" encoding="utf-8"?>
<Properties xmlns="http://schemas.openxmlformats.org/officeDocument/2006/custom-properties" xmlns:vt="http://schemas.openxmlformats.org/officeDocument/2006/docPropsVTypes"/>
</file>