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七研究结论与政策建议"/>
    <w:p>
      <w:pPr>
        <w:pStyle w:val="3"/>
      </w:pPr>
      <w:r>
        <w:rPr>
          <w:rFonts w:hint="eastAsia"/>
        </w:rPr>
        <w:t xml:space="preserve">七、研究结论与政策建议</w:t>
      </w:r>
    </w:p>
    <w:bookmarkStart w:id="9" w:name="一研究结论"/>
    <w:p>
      <w:pPr>
        <w:pStyle w:val="4"/>
      </w:pPr>
      <w:r>
        <w:rPr>
          <w:rFonts w:hint="eastAsia"/>
        </w:rPr>
        <w:t xml:space="preserve">（一）研究结论</w:t>
      </w:r>
    </w:p>
    <w:p>
      <w:pPr>
        <w:pStyle w:val="FirstParagraph"/>
      </w:pPr>
      <w:r>
        <w:rPr>
          <w:rFonts w:hint="eastAsia"/>
        </w:rPr>
        <w:t xml:space="preserve">本文以科创板上市公司为研究对象，利用做市标的分批纳入这一制度安排，构建多期</w:t>
      </w:r>
      <w:r>
        <w:t xml:space="preserve"> DID </w:t>
      </w:r>
      <w:r>
        <w:rPr>
          <w:rFonts w:hint="eastAsia"/>
        </w:rPr>
        <w:t xml:space="preserve">和事件研究模型，考察做市商制度对科技企业定价效率的影响。研究的核心问题是，做市商制度在科创板这一高不确定性、高信息摩擦的市场环境中，是否能够改善股票价格对信息的反映效率，以及这种影响主要体现在哪些维度。</w:t>
      </w:r>
    </w:p>
    <w:p>
      <w:pPr>
        <w:pStyle w:val="BodyText"/>
      </w:pPr>
      <w:r>
        <w:rPr>
          <w:rFonts w:hint="eastAsia"/>
        </w:rPr>
        <w:t xml:space="preserve">结合基准回归、事件研究、稳健性检验和异质性分析，得到以下几点结论。</w:t>
      </w:r>
    </w:p>
    <w:p>
      <w:pPr>
        <w:pStyle w:val="BodyText"/>
      </w:pPr>
      <w:r>
        <w:rPr>
          <w:rFonts w:hint="eastAsia"/>
        </w:rPr>
        <w:t xml:space="preserve">第一，科创板做市商制度总体上有助于改善科技企业定价效率。基准回归结果显示，做市商制度实施后，股价同步性显著下降，说明个股收益与市场共同波动的同步程度有所减弱，股票价格中反映的公司特质信息有所增加。这表明，做市制度能够在一定程度上改善信息进入价格的方式，提升科技企业股票价格对公司层面信息的反映能力。结合价格延迟和残差波动率等指标的结果可以看出，做市制度对定价效率的影响并不是单一口径下的同步变化，而是更集中地体现在优化价格形成结构、提高公司信息含量这一维度。</w:t>
      </w:r>
    </w:p>
    <w:p>
      <w:pPr>
        <w:pStyle w:val="BodyText"/>
      </w:pPr>
      <w:r>
        <w:rPr>
          <w:rFonts w:hint="eastAsia"/>
        </w:rPr>
        <w:t xml:space="preserve">第二，做市商制度对定价效率的影响具有一定的渐进性。事件研究结果表明，处理组与对照组在进入做市前不存在明显的系统性趋势差异，说明本文的识别框架总体可靠。同时，做市制度实施后的动态效应并未表现为一次性跳升，而更接近逐步释放的过程。这说明，做市制度对价格形成机制的作用不是在制度落地当期就完全体现出来的，而是通过持续报价、交易撮合和信息传导逐渐发挥影响。</w:t>
      </w:r>
    </w:p>
    <w:p>
      <w:pPr>
        <w:pStyle w:val="BodyText"/>
      </w:pPr>
      <w:r>
        <w:rPr>
          <w:rFonts w:hint="eastAsia"/>
        </w:rPr>
        <w:t xml:space="preserve">第三，做市商制度改善定价效率的作用在不同类型企业之间存在差异。异质性分析结果表明，相比大市值企业和高信息透明度企业，小市值企业和低信息透明度企业在做市制度实施后表现出更强的改善倾向。这意味着，做市制度更可能在原本交易摩擦较强、市场关注度较低、信息环境相对较弱的企业中发挥更明显的边际作用。换句话说，做市商制度的意义不仅在于改善整体市场交易环境，还在于为信息条件较弱的科技企业提供更有效的价格形成支持。</w:t>
      </w:r>
    </w:p>
    <w:p>
      <w:pPr>
        <w:pStyle w:val="BodyText"/>
      </w:pPr>
      <w:r>
        <w:rPr>
          <w:rFonts w:hint="eastAsia"/>
        </w:rPr>
        <w:t xml:space="preserve">第四，稳健性检验总体支持上述判断。替换被解释变量和缩尾处理后的结果与基准回归保持了较高一致性，说明本文关于做市制度改善科技企业定价效率的基本结论具有较好的稳定性。综合各项检验结果可以认为，科创板做市商制度对科技企业定价效率的积极作用已经开始显现，并且这种作用主要体现为提高公司特质信息进入价格的程度、优化价格发现过程以及强化特定类型企业的边际受益。</w:t>
      </w:r>
    </w:p>
    <w:p>
      <w:pPr>
        <w:pStyle w:val="BodyText"/>
      </w:pPr>
      <w:r>
        <w:rPr>
          <w:rFonts w:hint="eastAsia"/>
        </w:rPr>
        <w:t xml:space="preserve">总体而言，本文认为，科创板做市商制度为科技企业股票价格更充分地反映公司信息提供了制度支持，对优化科创板市场价格形成机制具有积极意义。虽然制度效果在不同指标和不同企业之间存在一定差异，但其改善定价效率的基本方向是明确的。</w:t>
      </w:r>
    </w:p>
    <w:bookmarkEnd w:id="9"/>
    <w:bookmarkStart w:id="10" w:name="二政策建议"/>
    <w:p>
      <w:pPr>
        <w:pStyle w:val="4"/>
      </w:pPr>
      <w:r>
        <w:rPr>
          <w:rFonts w:hint="eastAsia"/>
        </w:rPr>
        <w:t xml:space="preserve">（二）政策建议</w:t>
      </w:r>
    </w:p>
    <w:p>
      <w:pPr>
        <w:pStyle w:val="FirstParagraph"/>
      </w:pPr>
      <w:r>
        <w:rPr>
          <w:rFonts w:hint="eastAsia"/>
        </w:rPr>
        <w:t xml:space="preserve">基于本文的研究结论，可以从以下几个方面提出相应的政策建议。</w:t>
      </w:r>
    </w:p>
    <w:p>
      <w:pPr>
        <w:pStyle w:val="BodyText"/>
      </w:pPr>
      <w:r>
        <w:rPr>
          <w:rFonts w:hint="eastAsia"/>
        </w:rPr>
        <w:t xml:space="preserve">第一，继续稳步完善科创板做市商制度安排，但应避免对制度效果作过度乐观的预期。本文的结果表明，做市商制度并不是在所有维度上都立即显著提升定价效率，因此政策层面更适合把做市制度视为改善市场质量的一项基础性安排，而不是解决所有定价问题的单一工具。后续制度完善可以继续保持渐进推进的思路，在总结现有运行经验的基础上优化做市规则、报价要求和履约约束，提升制度运行的稳定性和持续性。</w:t>
      </w:r>
    </w:p>
    <w:p>
      <w:pPr>
        <w:pStyle w:val="BodyText"/>
      </w:pPr>
      <w:r>
        <w:rPr>
          <w:rFonts w:hint="eastAsia"/>
        </w:rPr>
        <w:t xml:space="preserve">第二，进一步优化做市标的遴选和做市商激励约束机制，提高制度资源配置的针对性。异质性分析和已有文献都提示，做市制度对原本流动性较弱、信息摩擦较强的股票可能更有边际效果。因此，在做市标的管理上，可以适度提高对中小市值、交易活跃度偏低、信息环境相对较弱企业的关注，增强制度支持的精准性。同时，应完善对做市商报价质量、持续报价能力和市场稳定作用的考核机制，避免做市制度流于形式。</w:t>
      </w:r>
    </w:p>
    <w:p>
      <w:pPr>
        <w:pStyle w:val="BodyText"/>
      </w:pPr>
      <w:r>
        <w:rPr>
          <w:rFonts w:hint="eastAsia"/>
        </w:rPr>
        <w:t xml:space="preserve">第三，加强信息披露质量建设和机构投资者培育，形成做市制度与信息环境改善的协同效应。本文发现，做市制度在股价同步性指标上的改善更明显，这说明其作用可能更多体现为帮助信息更有效地进入价格，而这一过程离不开良好的信息披露环境和更成熟的投资者结构。未来应继续强化科创板上市公司的信息披露规范性、及时性和可理解性，降低科技企业估值中的信息解释难度。同时，应继续引导长期资金、专业机构投资者参与科创板交易，提高市场的信息处理能力和定价理性程度，使做市制度的边际作用能够更充分地发挥。</w:t>
      </w:r>
    </w:p>
    <w:p>
      <w:pPr>
        <w:pStyle w:val="BodyText"/>
      </w:pPr>
      <w:r>
        <w:rPr>
          <w:rFonts w:hint="eastAsia"/>
        </w:rPr>
        <w:t xml:space="preserve">第四，将做市制度与其他市场微观结构改革协调推进，提升定价效率改善的整体效果。已有研究和本文结果都表明，定价效率往往受到交易机制、信息披露、投资者结构和市场约束条件的共同影响。因此，提高定价效率不能仅依赖做市制度本身，还需要与涨跌幅限制、融资融券机制、交易监管规则等配套制度相结合。只有在更完整的制度框架下，做市商提供流动性、平滑噪声波动和促进信息传导的作用，才更有可能转化为更稳健的价格发现效果。</w:t>
      </w:r>
    </w:p>
    <w:bookmarkEnd w:id="10"/>
    <w:bookmarkStart w:id="11" w:name="三研究不足与未来展望"/>
    <w:p>
      <w:pPr>
        <w:pStyle w:val="4"/>
      </w:pPr>
      <w:r>
        <w:rPr>
          <w:rFonts w:hint="eastAsia"/>
        </w:rPr>
        <w:t xml:space="preserve">（三）研究不足与未来展望</w:t>
      </w:r>
    </w:p>
    <w:p>
      <w:pPr>
        <w:pStyle w:val="FirstParagraph"/>
      </w:pPr>
      <w:r>
        <w:rPr>
          <w:rFonts w:hint="eastAsia"/>
        </w:rPr>
        <w:t xml:space="preserve">尽管本文围绕科创板做市商制度与科技企业定价效率之间的关系进行了较为系统的分析，但仍存在一些不足，有待在后续研究中进一步完善。</w:t>
      </w:r>
    </w:p>
    <w:p>
      <w:pPr>
        <w:pStyle w:val="BodyText"/>
      </w:pPr>
      <w:r>
        <w:rPr>
          <w:rFonts w:hint="eastAsia"/>
        </w:rPr>
        <w:t xml:space="preserve">第一，本文对定价效率的衡量仍然有限。虽然同时使用了价格延迟、股价同步性和残差波动率等指标，但不同指标反映的是价格发现过程的不同侧面，且在实证中表现出的显著性并不完全一致。未来研究可以进一步引入更细化的高频定价效率指标，或者结合盘口数据、报价深度和订单流信息，从更微观的层面刻画做市商制度对价格形成机制的影响。</w:t>
      </w:r>
    </w:p>
    <w:p>
      <w:pPr>
        <w:pStyle w:val="BodyText"/>
      </w:pPr>
      <w:r>
        <w:rPr>
          <w:rFonts w:hint="eastAsia"/>
        </w:rPr>
        <w:t xml:space="preserve">第二，本文对制度作用机制的检验仍然相对间接。结合现有文献，做市商制度可能通过改善流动性、降低交易摩擦、平滑噪声波动以及优化信息传导来影响定价效率，但受限于数据可得性，本文尚未对这些机制展开更完整的闭环检验。未来如果能够获得更丰富的微观交易数据、做市商报价行为数据以及分析师覆盖等信息环境数据，将有助于更清楚地识别做市制度究竟主要通过哪条路径发挥作用。</w:t>
      </w:r>
    </w:p>
    <w:p>
      <w:pPr>
        <w:pStyle w:val="BodyText"/>
      </w:pPr>
      <w:r>
        <w:rPr>
          <w:rFonts w:hint="eastAsia"/>
        </w:rPr>
        <w:t xml:space="preserve">第三，本文对异质性和边界条件的讨论仍然偏初步。虽然分组结果在方向上提示，小市值企业和低信息透明度企业可能更容易从做市制度中受益，但目前统计证据仍然偏弱。未来研究可以进一步从企业成长性、研发不确定性、分析师覆盖、市场状态以及做市商数量和能力差异等角度展开更细致的分层分析，以更准确地识别制度作用范围。</w:t>
      </w:r>
    </w:p>
    <w:p>
      <w:pPr>
        <w:pStyle w:val="BodyText"/>
      </w:pPr>
      <w:r>
        <w:rPr>
          <w:rFonts w:hint="eastAsia"/>
        </w:rPr>
        <w:t xml:space="preserve">第四，样本期和制度观察期仍然有限。科创板做市商制度正式实施时间较短，制度长期运行效果尚未充分显现。做市商制度对价格效率的影响可能具有一定滞后性和累积性，这意味着当前样本更适合识别初步效应，而不宜据此对长期制度效果作过强推断。随着未来数据不断积累，后续研究可以在更长时间跨度上重新检验本文的主要结论，以观察做市制度的中长期影响是否会进一步增强。</w:t>
      </w:r>
    </w:p>
    <w:p>
      <w:pPr>
        <w:pStyle w:val="BodyText"/>
      </w:pPr>
      <w:r>
        <w:rPr>
          <w:rFonts w:hint="eastAsia"/>
        </w:rPr>
        <w:t xml:space="preserve">总体而言，本文对科创板做市商制度与科技企业定价效率之间的关系提供了初步经验证据，但这一问题仍有较大的拓展空间。未来如果能够结合更长样本、更细指标和更丰富的微观数据，相关研究有望更深入地揭示做市制度在科技企业估值形成中的实际作用及其制度边界。</w:t>
      </w:r>
    </w:p>
    <w:bookmarkEnd w:id="11"/>
    <w:bookmarkEnd w:id="12"/>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黑">
    <w:altName w:val="黑体"/>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3336C"/>
    <w:rsid w:val="3113336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ind w:firstLine="883" w:firstLineChars="200"/>
      <w:jc w:val="both"/>
    </w:pPr>
    <w:rPr>
      <w:rFonts w:ascii="Times New Roman" w:cstheme="minorBidi" w:eastAsia="宋体" w:hAnsi="Times New Roman"/>
      <w:kern w:val="2"/>
      <w:sz w:val="24"/>
      <w:szCs w:val="24"/>
      <w:lang w:bidi="ar-SA" w:eastAsia="zh-CN" w:val="en-US"/>
    </w:rPr>
  </w:style>
  <w:style w:styleId="2" w:type="paragraph">
    <w:name w:val="heading 1"/>
    <w:basedOn w:val="1"/>
    <w:next w:val="1"/>
    <w:qFormat/>
    <w:uiPriority w:val="0"/>
    <w:pPr>
      <w:keepNext/>
      <w:keepLines/>
      <w:spacing w:after="330" w:afterAutospacing="0" w:afterLines="0" w:before="340" w:beforeAutospacing="0" w:beforeLines="0" w:line="360" w:lineRule="auto"/>
      <w:outlineLvl w:val="0"/>
    </w:pPr>
    <w:rPr>
      <w:rFonts w:asciiTheme="minorAscii" w:hAnsiTheme="minorAscii"/>
      <w:b/>
      <w:kern w:val="44"/>
      <w:sz w:val="44"/>
    </w:rPr>
  </w:style>
  <w:style w:styleId="3" w:type="paragraph">
    <w:name w:val="heading 2"/>
    <w:basedOn w:val="1"/>
    <w:next w:val="1"/>
    <w:semiHidden/>
    <w:unhideWhenUsed/>
    <w:qFormat/>
    <w:uiPriority w:val="0"/>
    <w:pPr>
      <w:keepNext/>
      <w:keepLines/>
      <w:spacing w:after="260" w:afterAutospacing="0" w:afterLines="0" w:before="260" w:beforeAutospacing="0" w:beforeLines="0" w:line="360" w:lineRule="auto"/>
      <w:ind w:firstLine="883" w:firstLineChars="200"/>
      <w:outlineLvl w:val="1"/>
    </w:pPr>
    <w:rPr>
      <w:rFonts w:ascii="Arial" w:eastAsia="宋体" w:hAnsi="Arial"/>
      <w:b/>
      <w:sz w:val="28"/>
    </w:rPr>
  </w:style>
  <w:style w:styleId="4" w:type="paragraph">
    <w:name w:val="heading 3"/>
    <w:basedOn w:val="1"/>
    <w:next w:val="1"/>
    <w:semiHidden/>
    <w:unhideWhenUsed/>
    <w:qFormat/>
    <w:uiPriority w:val="0"/>
    <w:pPr>
      <w:keepNext/>
      <w:keepLines/>
      <w:spacing w:after="260" w:afterAutospacing="0" w:afterLines="0" w:before="260" w:beforeAutospacing="0" w:beforeLines="0" w:line="360" w:lineRule="auto"/>
      <w:ind w:firstLine="1325" w:firstLineChars="300"/>
      <w:outlineLvl w:val="2"/>
    </w:pPr>
    <w:rPr>
      <w:rFonts w:asciiTheme="minorAscii" w:eastAsia="宋体" w:hAnsiTheme="minorAscii"/>
      <w:b/>
      <w:sz w:val="24"/>
    </w:rPr>
  </w:style>
  <w:style w:styleId="5" w:type="paragraph">
    <w:name w:val="heading 4"/>
    <w:basedOn w:val="1"/>
    <w:next w:val="1"/>
    <w:semiHidden/>
    <w:unhideWhenUsed/>
    <w:qFormat/>
    <w:uiPriority w:val="0"/>
    <w:pPr>
      <w:keepNext/>
      <w:keepLines/>
      <w:spacing w:after="290" w:afterAutospacing="0" w:afterLines="0" w:before="280" w:beforeAutospacing="0" w:beforeLines="0" w:line="360" w:lineRule="auto"/>
      <w:ind w:firstLine="1325" w:firstLineChars="300"/>
      <w:outlineLvl w:val="3"/>
    </w:pPr>
    <w:rPr>
      <w:rFonts w:ascii="Arial" w:eastAsia="宋体" w:hAnsi="Arial"/>
      <w:b/>
      <w:sz w:val="24"/>
    </w:rPr>
  </w:style>
  <w:style w:default="1" w:styleId="7" w:type="character">
    <w:name w:val="Default Paragraph Font"/>
    <w:semiHidden/>
    <w:uiPriority w:val="0"/>
  </w:style>
  <w:style w:default="1" w:styleId="6" w:type="table">
    <w:name w:val="Normal Table"/>
    <w:semiHidden/>
    <w:qFormat/>
    <w:uiPriority w:val="0"/>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2026-04-16T15:36:07Z</dcterms:created>
  <dcterms:modified xsi:type="dcterms:W3CDTF">2026-04-16T15:36:07Z</dcterms:modified>
</cp:coreProperties>
</file>

<file path=docProps/custom.xml><?xml version="1.0" encoding="utf-8"?>
<Properties xmlns="http://schemas.openxmlformats.org/officeDocument/2006/custom-properties" xmlns:vt="http://schemas.openxmlformats.org/officeDocument/2006/docPropsVTypes"/>
</file>