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四研究设计"/>
    <w:p>
      <w:pPr>
        <w:pStyle w:val="3"/>
      </w:pPr>
      <w:r>
        <w:rPr>
          <w:rFonts w:hint="eastAsia"/>
        </w:rPr>
        <w:t xml:space="preserve">四、研究设计</w:t>
      </w:r>
    </w:p>
    <w:bookmarkStart w:id="9" w:name="一样本选择与数据来源"/>
    <w:p>
      <w:pPr>
        <w:pStyle w:val="4"/>
      </w:pPr>
      <w:r>
        <w:rPr>
          <w:rFonts w:hint="eastAsia"/>
        </w:rPr>
        <w:t xml:space="preserve">（一）样本选择与数据来源</w:t>
      </w:r>
    </w:p>
    <w:p>
      <w:pPr>
        <w:pStyle w:val="FirstParagraph"/>
      </w:pPr>
      <w:r>
        <w:rPr>
          <w:rFonts w:hint="eastAsia"/>
        </w:rPr>
        <w:t xml:space="preserve">本节说明研究对象、样本区间、数据来源和筛选规则。交代基础条件，为后面的变量构造和模型设定提供解释力。</w:t>
      </w:r>
    </w:p>
    <w:p>
      <w:pPr>
        <w:pStyle w:val="BodyText"/>
      </w:pPr>
      <w:r>
        <w:rPr>
          <w:rFonts w:hint="eastAsia"/>
        </w:rPr>
        <w:t xml:space="preserve">研究对象为科创板上市公司，关注的问题是做市商制度落地后，科技企业的定价效率是否发生变化。科创板做市商制度于</w:t>
      </w:r>
      <w:r>
        <w:t xml:space="preserve"> 2022 </w:t>
      </w:r>
      <w:r>
        <w:rPr>
          <w:rFonts w:hint="eastAsia"/>
        </w:rPr>
        <w:t xml:space="preserve">年</w:t>
      </w:r>
      <w:r>
        <w:t xml:space="preserve"> 10 </w:t>
      </w:r>
      <w:r>
        <w:rPr>
          <w:rFonts w:hint="eastAsia"/>
        </w:rPr>
        <w:t xml:space="preserve">月</w:t>
      </w:r>
      <w:r>
        <w:t xml:space="preserve"> 31 </w:t>
      </w:r>
      <w:r>
        <w:rPr>
          <w:rFonts w:hint="eastAsia"/>
        </w:rPr>
        <w:t xml:space="preserve">日正式实施。为了同时观察政策实施前后的变化，样本区间设定为</w:t>
      </w:r>
      <w:r>
        <w:t xml:space="preserve"> 2020 </w:t>
      </w:r>
      <w:r>
        <w:rPr>
          <w:rFonts w:hint="eastAsia"/>
        </w:rPr>
        <w:t xml:space="preserve">年</w:t>
      </w:r>
      <w:r>
        <w:t xml:space="preserve"> 1 </w:t>
      </w:r>
      <w:r>
        <w:rPr>
          <w:rFonts w:hint="eastAsia"/>
        </w:rPr>
        <w:t xml:space="preserve">月至</w:t>
      </w:r>
      <w:r>
        <w:t xml:space="preserve"> 2025 </w:t>
      </w:r>
      <w:r>
        <w:rPr>
          <w:rFonts w:hint="eastAsia"/>
        </w:rPr>
        <w:t xml:space="preserve">年</w:t>
      </w:r>
      <w:r>
        <w:t xml:space="preserve"> 12 </w:t>
      </w:r>
      <w:r>
        <w:rPr>
          <w:rFonts w:hint="eastAsia"/>
        </w:rPr>
        <w:t xml:space="preserve">月。这样的安排的优势有两个：一是能够保留较长的政策前观察期，用来判断处理组和对照组在制度实施前是否具有相近趋势；二是能够覆盖制度实施后的若干期，便于观察影响是短期出现还是持续存在。</w:t>
      </w:r>
    </w:p>
    <w:p>
      <w:pPr>
        <w:pStyle w:val="BodyText"/>
      </w:pPr>
      <w:r>
        <w:rPr>
          <w:rFonts w:hint="eastAsia"/>
        </w:rPr>
        <w:t xml:space="preserve">数据主要来自五个部分。第一，个股日度交易数据用于计算收益率、换手率、月度波动率以及定价效率指标。第二，科创板指数日度行情数据用于构造市场收益率，从而测算价格延迟和股价同步性。第三，财务和公司特征数据用于构造市值、市净率、杠杆率、盈利能力、营业收入增长率和研发强度等控制变量。第四，机构持股数据用于衡量企业的信息透明度。第五，做市标的名单及首次纳入做市日期数据用于识别处理组和处理时点。</w:t>
      </w:r>
    </w:p>
    <w:p>
      <w:pPr>
        <w:pStyle w:val="BodyText"/>
      </w:pPr>
      <w:r>
        <w:rPr>
          <w:rFonts w:hint="eastAsia"/>
        </w:rPr>
        <w:t xml:space="preserve">为了提高样本可比性，对原始样本作进一步筛选。首先，剔除金融行业公司。金融企业的资产结构、监管环境和估值逻辑与一般科技企业差异较大，直接纳入会干扰估计结果。其次，剔除样本期内被实施</w:t>
      </w:r>
      <w:r>
        <w:t xml:space="preserve"> ST </w:t>
      </w:r>
      <w:r>
        <w:rPr>
          <w:rFonts w:hint="eastAsia"/>
        </w:rPr>
        <w:t xml:space="preserve">或</w:t>
      </w:r>
      <w:r>
        <w:t xml:space="preserve"> *ST </w:t>
      </w:r>
      <w:r>
        <w:rPr>
          <w:rFonts w:hint="eastAsia"/>
        </w:rPr>
        <w:t xml:space="preserve">的公司。这类公司往往伴随异常风险事件和交易波动，其价格形成机制与普通样本明显不同。再次，剔除关键变量缺失严重、无法构造主要因变量的观测值。完成上述处理后，再将日度数据整理为公司—月份层面的面板数据，作为后续回归分析的基础样本。</w:t>
      </w:r>
    </w:p>
    <w:p>
      <w:pPr>
        <w:pStyle w:val="BodyText"/>
      </w:pPr>
      <w:r>
        <w:rPr>
          <w:rFonts w:hint="eastAsia"/>
        </w:rPr>
        <w:t xml:space="preserve">这里还需要特别说明处理组的识别方式。研究并不是把“所有做市公司”和“所有非做市公司”做一次静态比较，而是根据每家公司首次进入做市标的名单的时间，识别制度冲击何时开始发生。由于不同公司的纳入时间并不一致，做市商制度在样本中表现为分批实施。因此，采用多期</w:t>
      </w:r>
      <w:r>
        <w:t xml:space="preserve"> DID </w:t>
      </w:r>
      <w:r>
        <w:rPr>
          <w:rFonts w:hint="eastAsia"/>
        </w:rPr>
        <w:t xml:space="preserve">设计更符合实际制度过程，也更适合识别这一政策冲击的净效应。</w:t>
      </w:r>
    </w:p>
    <w:bookmarkEnd w:id="9"/>
    <w:bookmarkStart w:id="14" w:name="二变量定义"/>
    <w:p>
      <w:pPr>
        <w:pStyle w:val="4"/>
      </w:pPr>
      <w:r>
        <w:rPr>
          <w:rFonts w:hint="eastAsia"/>
        </w:rPr>
        <w:t xml:space="preserve">（二）变量定义</w:t>
      </w:r>
    </w:p>
    <w:p>
      <w:pPr>
        <w:pStyle w:val="FirstParagraph"/>
      </w:pPr>
      <w:r>
        <w:rPr>
          <w:rFonts w:hint="eastAsia"/>
        </w:rPr>
        <w:t xml:space="preserve">本节依次介绍被解释变量、核心解释变量、控制变量和异质性分组变量。回答“研究什么”，“用什么解释”，和“如何控制其他影响因素”这几个重要问题。</w:t>
      </w:r>
    </w:p>
    <w:bookmarkStart w:id="10" w:name="被解释变量定价效率"/>
    <w:p>
      <w:pPr>
        <w:pStyle w:val="5"/>
      </w:pPr>
      <w:r>
        <w:t xml:space="preserve">1. </w:t>
      </w:r>
      <w:r>
        <w:rPr>
          <w:rFonts w:hint="eastAsia"/>
        </w:rPr>
        <w:t xml:space="preserve">被解释变量：定价效率</w:t>
      </w:r>
    </w:p>
    <w:p>
      <w:pPr>
        <w:pStyle w:val="FirstParagraph"/>
      </w:pPr>
      <w:r>
        <w:rPr>
          <w:rFonts w:hint="eastAsia"/>
        </w:rPr>
        <w:t xml:space="preserve">研究的核心结果变量是定价效率。结合已有文献和科创板市场特征，价格延迟（Price</w:t>
      </w:r>
      <w:r>
        <w:t xml:space="preserve"> </w:t>
      </w:r>
      <w:r>
        <w:rPr>
          <w:rFonts w:hint="eastAsia"/>
        </w:rPr>
        <w:t xml:space="preserve">Delay）被设为主变量，股价同步性（SYNCH）和残差波动率作为稳健性检验中的替代指标。</w:t>
      </w:r>
    </w:p>
    <w:p>
      <w:pPr>
        <w:pStyle w:val="BodyText"/>
      </w:pPr>
      <w:r>
        <w:rPr>
          <w:rFonts w:hint="eastAsia"/>
        </w:rPr>
        <w:t xml:space="preserve">价格延迟反映的是个股价格吸收市场信息的速度。直观地说，如果市场层面的新信息已经出现，而某只股票的价格要过几期才慢慢作出反应，就说明这只股票的价格调整存在滞后，定价效率偏低。具体做法是，将个股收益率对当期和滞后市场收益率进行回归，再根据滞后项的解释力构造价格延迟指标。滞后项作用越强，说明价格调整越慢，价格延迟越高，定价效率越低。相反，如果个股价格能够较快反映市场信息，那么价格延迟就会较低。</w:t>
      </w:r>
    </w:p>
    <w:p>
      <w:pPr>
        <w:pStyle w:val="BodyText"/>
      </w:pPr>
      <w:r>
        <w:rPr>
          <w:rFonts w:hint="eastAsia"/>
        </w:rPr>
        <w:t xml:space="preserve">股价同步性从另一个角度刻画定价效率。它通常由个股收益率对市场收益率回归后的拟合优度构造而来。若一只股票的波动主要由市场共同因素解释，而公司特质信息反映不足，那么同步性就会较高。同步性高，意味着价格中公司层面的信息含量偏少，定价效率较低；同步性低，则意味着公司特质信息更多地进入了价格，定价效率更高。</w:t>
      </w:r>
    </w:p>
    <w:p>
      <w:pPr>
        <w:pStyle w:val="BodyText"/>
      </w:pPr>
      <w:r>
        <w:rPr>
          <w:rFonts w:hint="eastAsia"/>
        </w:rPr>
        <w:t xml:space="preserve">残差波动率是另一项替代指标。它衡量的是在剔除市场共同波动之后，个股剩余收益的波动程度。在本研究中，残差波动率可以用来辅助判断个股价格中公司特质信息和噪声波动的综合状况。三类指标同时使用，有助于从不同角度检验结论是否稳健，避免研究结果过度依赖单一测度口径。</w:t>
      </w:r>
    </w:p>
    <w:bookmarkEnd w:id="10"/>
    <w:bookmarkStart w:id="11" w:name="核心解释变量做市商制度"/>
    <w:p>
      <w:pPr>
        <w:pStyle w:val="5"/>
      </w:pPr>
      <w:r>
        <w:t xml:space="preserve">2. </w:t>
      </w:r>
      <w:r>
        <w:rPr>
          <w:rFonts w:hint="eastAsia"/>
        </w:rPr>
        <w:t xml:space="preserve">核心解释变量：做市商制度</w:t>
      </w:r>
    </w:p>
    <w:p>
      <w:pPr>
        <w:pStyle w:val="FirstParagraph"/>
      </w:pPr>
      <w:r>
        <w:rPr>
          <w:rFonts w:hint="eastAsia"/>
        </w:rPr>
        <w:t xml:space="preserve">核心解释变量是做市商制度冲击，即一家公司在某个月份是否已经进入科创板做市标的名单。</w:t>
      </w:r>
    </w:p>
    <w:p>
      <w:pPr>
        <w:pStyle w:val="BodyText"/>
      </w:pPr>
      <w:r>
        <w:rPr>
          <w:rFonts w:hint="eastAsia"/>
        </w:rPr>
        <w:t xml:space="preserve">识别过程分两步。第一步，根据做市标的名单确定处理组，即样本期内曾被纳入做市标的的公司。第二步，根据“首次纳入做市日期”确定处理时点，并将其转换为对应月份。若某家公司在某个月及之后已经处于做市标的名单中，则认为该公司从该月开始受到做市商制度影响。</w:t>
      </w:r>
    </w:p>
    <w:p>
      <w:pPr>
        <w:pStyle w:val="BodyText"/>
      </w:pPr>
      <w:r>
        <w:rPr>
          <w:rFonts w:hint="eastAsia"/>
        </w:rPr>
        <w:t xml:space="preserve">据此构造核心解释变量</w:t>
      </w:r>
      <w:r>
        <w:t xml:space="preserve"> </w:t>
      </w:r>
      <w:r>
        <w:rPr>
          <w:rStyle w:val="VerbatimChar"/>
        </w:rPr>
        <w:t xml:space="preserve">DID</w:t>
      </w:r>
      <w:r>
        <w:rPr>
          <w:rFonts w:hint="eastAsia"/>
        </w:rPr>
        <w:t xml:space="preserve">。当公司属于做市标的，且月份处于首次纳入做市的当月及以后时，</w:t>
      </w:r>
      <w:r>
        <w:rPr>
          <w:rStyle w:val="VerbatimChar"/>
        </w:rPr>
        <w:t xml:space="preserve">DID</w:t>
      </w:r>
      <w:r>
        <w:t xml:space="preserve"> </w:t>
      </w:r>
      <w:r>
        <w:rPr>
          <w:rFonts w:hint="eastAsia"/>
        </w:rPr>
        <w:t xml:space="preserve">取值为</w:t>
      </w:r>
      <w:r>
        <w:t xml:space="preserve"> </w:t>
      </w:r>
      <w:r>
        <w:rPr>
          <w:rFonts w:hint="eastAsia"/>
        </w:rPr>
        <w:t xml:space="preserve">1；否则取值为</w:t>
      </w:r>
      <w:r>
        <w:t xml:space="preserve"> </w:t>
      </w:r>
      <w:r>
        <w:rPr>
          <w:rFonts w:hint="eastAsia"/>
        </w:rPr>
        <w:t xml:space="preserve">0。这个变量的含义比较直接：它表示某家公司在某一月份是否已经真实进入做市制度覆盖范围。由于不同公司的处理时点不同，</w:t>
      </w:r>
      <w:r>
        <w:rPr>
          <w:rStyle w:val="VerbatimChar"/>
        </w:rPr>
        <w:t xml:space="preserve">DID</w:t>
      </w:r>
      <w:r>
        <w:t xml:space="preserve"> </w:t>
      </w:r>
      <w:r>
        <w:rPr>
          <w:rFonts w:hint="eastAsia"/>
        </w:rPr>
        <w:t xml:space="preserve">是一个分期生效的制度变量，这也是后文采用多期</w:t>
      </w:r>
      <w:r>
        <w:t xml:space="preserve"> DID </w:t>
      </w:r>
      <w:r>
        <w:rPr>
          <w:rFonts w:hint="eastAsia"/>
        </w:rPr>
        <w:t xml:space="preserve">模型的原因。</w:t>
      </w:r>
    </w:p>
    <w:bookmarkEnd w:id="11"/>
    <w:bookmarkStart w:id="12" w:name="控制变量"/>
    <w:p>
      <w:pPr>
        <w:pStyle w:val="5"/>
      </w:pPr>
      <w:r>
        <w:t xml:space="preserve">3. </w:t>
      </w:r>
      <w:r>
        <w:rPr>
          <w:rFonts w:hint="eastAsia"/>
        </w:rPr>
        <w:t xml:space="preserve">控制变量</w:t>
      </w:r>
    </w:p>
    <w:p>
      <w:pPr>
        <w:pStyle w:val="FirstParagraph"/>
      </w:pPr>
      <w:r>
        <w:rPr>
          <w:rFonts w:hint="eastAsia"/>
        </w:rPr>
        <w:t xml:space="preserve">为了减少遗漏变量偏误，需要控制一组会影响定价效率的公司特征。</w:t>
      </w:r>
    </w:p>
    <w:p>
      <w:pPr>
        <w:pStyle w:val="BodyText"/>
      </w:pPr>
      <w:r>
        <w:rPr>
          <w:rFonts w:hint="eastAsia"/>
        </w:rPr>
        <w:t xml:space="preserve">公司规模用市值的对数表示。规模较大的公司通常投资者关注度更高，交易更活跃，信息披露也更充分，因此其定价效率往往更高。市净率（PB）反映估值水平和成长预期，不同估值水平的企业在市场认知和信息解读上往往存在差异。月度波动率用于控制个股价格波动程度，因为波动较大的股票更容易受到情绪交易和噪声干扰。杠杆率反映财务风险，ROA</w:t>
      </w:r>
      <w:r>
        <w:t xml:space="preserve"> </w:t>
      </w:r>
      <w:r>
        <w:rPr>
          <w:rFonts w:hint="eastAsia"/>
        </w:rPr>
        <w:t xml:space="preserve">反映盈利能力，营业收入增长率反映成长性，这些变量都会影响投资者对企业价值的判断。</w:t>
      </w:r>
    </w:p>
    <w:p>
      <w:pPr>
        <w:pStyle w:val="BodyText"/>
      </w:pPr>
      <w:r>
        <w:rPr>
          <w:rFonts w:hint="eastAsia"/>
        </w:rPr>
        <w:t xml:space="preserve">除此之外，还控制上市年龄、机构持股比例和研发强度。上市时间较长的公司通常信息披露更成熟，投资者对其认知也更稳定。机构持股比例既反映机构投资者参与程度，也在一定程度上反映公司的信息环境。研发强度是科技企业的重要特征，高研发投入往往伴随更高的不确定性和更强的信息解释难度，因此也需要纳入控制。</w:t>
      </w:r>
    </w:p>
    <w:bookmarkEnd w:id="12"/>
    <w:bookmarkStart w:id="13" w:name="异质性分组变量"/>
    <w:p>
      <w:pPr>
        <w:pStyle w:val="5"/>
      </w:pPr>
      <w:r>
        <w:t xml:space="preserve">4. </w:t>
      </w:r>
      <w:r>
        <w:rPr>
          <w:rFonts w:hint="eastAsia"/>
        </w:rPr>
        <w:t xml:space="preserve">异质性分组变量</w:t>
      </w:r>
    </w:p>
    <w:p>
      <w:pPr>
        <w:pStyle w:val="FirstParagraph"/>
      </w:pPr>
      <w:r>
        <w:rPr>
          <w:rFonts w:hint="eastAsia"/>
        </w:rPr>
        <w:t xml:space="preserve">为了考察做市商制度的作用是否存在边界条件，后续异质性分析将从企业规模和信息透明度两个维度展开。</w:t>
      </w:r>
    </w:p>
    <w:p>
      <w:pPr>
        <w:pStyle w:val="BodyText"/>
      </w:pPr>
      <w:r>
        <w:rPr>
          <w:rFonts w:hint="eastAsia"/>
        </w:rPr>
        <w:t xml:space="preserve">企业规模使用流通市值的对数</w:t>
      </w:r>
      <w:r>
        <w:t xml:space="preserve"> </w:t>
      </w:r>
      <w:r>
        <w:rPr>
          <w:rStyle w:val="VerbatimChar"/>
        </w:rPr>
        <w:t xml:space="preserve">ln_cir_mktcap</w:t>
      </w:r>
      <w:r>
        <w:t xml:space="preserve"> </w:t>
      </w:r>
      <w:r>
        <w:rPr>
          <w:rFonts w:hint="eastAsia"/>
        </w:rPr>
        <w:t xml:space="preserve">进行分组，并以全样本中位数为界，将样本划分为大市值企业和小市值企业。这样做的理由是，小市值企业通常面临更高的交易摩擦、更弱的投资者关注和更大的估值分歧，因此做市商制度的边际作用可能更明显。</w:t>
      </w:r>
    </w:p>
    <w:p>
      <w:pPr>
        <w:pStyle w:val="BodyText"/>
      </w:pPr>
      <w:r>
        <w:rPr>
          <w:rFonts w:hint="eastAsia"/>
        </w:rPr>
        <w:t xml:space="preserve">信息透明度使用机构持股比例</w:t>
      </w:r>
      <w:r>
        <w:t xml:space="preserve"> </w:t>
      </w:r>
      <w:r>
        <w:rPr>
          <w:rStyle w:val="VerbatimChar"/>
        </w:rPr>
        <w:t xml:space="preserve">inst_hold</w:t>
      </w:r>
      <w:r>
        <w:t xml:space="preserve"> </w:t>
      </w:r>
      <w:r>
        <w:rPr>
          <w:rFonts w:hint="eastAsia"/>
        </w:rPr>
        <w:t xml:space="preserve">作为代理变量，同样按全样本中位数划分为高信息透明度组和低信息透明度组。机构持股比例较高时，企业的信息生产和传播机制通常更充分；机构持股比例较低时，信息不对称问题往往更严重。通过这一分组，可以进一步判断做市商制度是否在信息环境较差的科技企业中发挥更强作用。</w:t>
      </w:r>
    </w:p>
    <w:bookmarkEnd w:id="13"/>
    <w:bookmarkEnd w:id="14"/>
    <w:bookmarkStart w:id="17" w:name="三模型设定"/>
    <w:p>
      <w:pPr>
        <w:pStyle w:val="4"/>
      </w:pPr>
      <w:r>
        <w:rPr>
          <w:rFonts w:hint="eastAsia"/>
        </w:rPr>
        <w:t xml:space="preserve">（三）模型设定</w:t>
      </w:r>
    </w:p>
    <w:p>
      <w:pPr>
        <w:pStyle w:val="FirstParagraph"/>
      </w:pPr>
      <w:r>
        <w:rPr>
          <w:rFonts w:hint="eastAsia"/>
        </w:rPr>
        <w:t xml:space="preserve">本节说明基准模型和事件研究模型。前者用来识别平均处理效应，后者用来观察动态路径并检验平行趋势。</w:t>
      </w:r>
    </w:p>
    <w:bookmarkStart w:id="15" w:name="基准多期-did-模型"/>
    <w:p>
      <w:pPr>
        <w:pStyle w:val="5"/>
      </w:pPr>
      <w:r>
        <w:t xml:space="preserve">1. </w:t>
      </w:r>
      <w:r>
        <w:rPr>
          <w:rFonts w:hint="eastAsia"/>
        </w:rPr>
        <w:t xml:space="preserve">基准多期</w:t>
      </w:r>
      <w:r>
        <w:t xml:space="preserve"> DID </w:t>
      </w:r>
      <w:r>
        <w:rPr>
          <w:rFonts w:hint="eastAsia"/>
        </w:rPr>
        <w:t xml:space="preserve">模型</w:t>
      </w:r>
    </w:p>
    <w:p>
      <w:pPr>
        <w:pStyle w:val="FirstParagraph"/>
      </w:pPr>
      <w:r>
        <w:rPr>
          <w:rFonts w:hint="eastAsia"/>
        </w:rPr>
        <w:t xml:space="preserve">为检验做市商制度是否提高了科技企业的定价效率，设置如下基准多期</w:t>
      </w:r>
      <w:r>
        <w:t xml:space="preserve"> DID </w:t>
      </w:r>
      <w:r>
        <w:rPr>
          <w:rFonts w:hint="eastAsia"/>
        </w:rPr>
        <w:t xml:space="preserve">模型：</w:t>
      </w:r>
    </w:p>
    <w:p>
      <w:pPr>
        <w:pStyle w:val="BodyText"/>
      </w:pPr>
      <m:oMathPara>
        <m:oMathParaPr>
          <m:jc m:val="center"/>
        </m:oMathParaPr>
        <m:oMath>
          <m:r>
            <m:t>E</m:t>
          </m:r>
          <m:r>
            <m:t>f</m:t>
          </m:r>
          <m:r>
            <m:t>f</m:t>
          </m:r>
          <m:r>
            <m:t>i</m:t>
          </m:r>
          <m:r>
            <m:t>c</m:t>
          </m:r>
          <m:r>
            <m:t>i</m:t>
          </m:r>
          <m:r>
            <m:t>e</m:t>
          </m:r>
          <m:r>
            <m:t>n</m:t>
          </m:r>
          <m:r>
            <m:t>c</m:t>
          </m:r>
          <m:sSub>
            <m:e>
              <m:r>
                <m:t>y</m:t>
              </m:r>
            </m:e>
            <m:sub>
              <m:r>
                <m:t>i</m:t>
              </m:r>
              <m:r>
                <m:rPr>
                  <m:sty m:val="p"/>
                </m:rPr>
                <m:t>,</m:t>
              </m:r>
              <m:r>
                <m:t>t</m:t>
              </m:r>
            </m:sub>
          </m:sSub>
          <m:r>
            <m:rPr>
              <m:sty m:val="p"/>
            </m:rPr>
            <m:t>=</m:t>
          </m:r>
          <m:r>
            <m:t>α</m:t>
          </m:r>
          <m:r>
            <m:rPr>
              <m:sty m:val="p"/>
            </m:rPr>
            <m:t>+</m:t>
          </m:r>
          <m:r>
            <m:t>β</m:t>
          </m:r>
          <m:r>
            <m:t>D</m:t>
          </m:r>
          <m:r>
            <m:t>I</m:t>
          </m:r>
          <m:sSub>
            <m:e>
              <m:r>
                <m:t>D</m:t>
              </m:r>
            </m:e>
            <m:sub>
              <m:r>
                <m:t>i</m:t>
              </m:r>
              <m:r>
                <m:rPr>
                  <m:sty m:val="p"/>
                </m:rPr>
                <m:t>,</m:t>
              </m:r>
              <m:r>
                <m:t>t</m:t>
              </m:r>
            </m:sub>
          </m:sSub>
          <m:r>
            <m:rPr>
              <m:sty m:val="p"/>
            </m:rPr>
            <m:t>+</m:t>
          </m:r>
          <m:r>
            <m:t>γ</m:t>
          </m:r>
          <m:sSub>
            <m:e>
              <m:r>
                <m:t>X</m:t>
              </m:r>
            </m:e>
            <m:sub>
              <m:r>
                <m:t>i</m:t>
              </m:r>
              <m:r>
                <m:rPr>
                  <m:sty m:val="p"/>
                </m:rPr>
                <m:t>,</m:t>
              </m:r>
              <m:r>
                <m:t>t</m:t>
              </m:r>
            </m:sub>
          </m:sSub>
          <m:r>
            <m:rPr>
              <m:sty m:val="p"/>
            </m:rPr>
            <m:t>+</m:t>
          </m:r>
          <m:sSub>
            <m:e>
              <m:r>
                <m:t>μ</m:t>
              </m:r>
            </m:e>
            <m:sub>
              <m:r>
                <m:t>i</m:t>
              </m:r>
            </m:sub>
          </m:sSub>
          <m:r>
            <m:rPr>
              <m:sty m:val="p"/>
            </m:rPr>
            <m:t>+</m:t>
          </m:r>
          <m:sSub>
            <m:e>
              <m:r>
                <m:t>λ</m:t>
              </m:r>
            </m:e>
            <m:sub>
              <m:r>
                <m:t>t</m:t>
              </m:r>
            </m:sub>
          </m:sSub>
          <m:r>
            <m:rPr>
              <m:sty m:val="p"/>
            </m:rPr>
            <m:t>+</m:t>
          </m:r>
          <m:sSub>
            <m:e>
              <m:r>
                <m:t>ε</m:t>
              </m:r>
            </m:e>
            <m:sub>
              <m:r>
                <m:t>i</m:t>
              </m:r>
              <m:r>
                <m:rPr>
                  <m:sty m:val="p"/>
                </m:rPr>
                <m:t>,</m:t>
              </m:r>
              <m:r>
                <m:t>t</m:t>
              </m:r>
            </m:sub>
          </m:sSub>
        </m:oMath>
      </m:oMathPara>
    </w:p>
    <w:p>
      <w:pPr>
        <w:pStyle w:val="FirstParagraph"/>
      </w:pPr>
      <w:r>
        <w:rPr>
          <w:rFonts w:hint="eastAsia"/>
        </w:rPr>
        <w:t xml:space="preserve">其中，</w:t>
      </w:r>
      <m:oMath>
        <m:r>
          <m:t>E</m:t>
        </m:r>
        <m:r>
          <m:t>f</m:t>
        </m:r>
        <m:r>
          <m:t>f</m:t>
        </m:r>
        <m:r>
          <m:t>i</m:t>
        </m:r>
        <m:r>
          <m:t>c</m:t>
        </m:r>
        <m:r>
          <m:t>i</m:t>
        </m:r>
        <m:r>
          <m:t>e</m:t>
        </m:r>
        <m:r>
          <m:t>n</m:t>
        </m:r>
        <m:r>
          <m:t>c</m:t>
        </m:r>
        <m:sSub>
          <m:e>
            <m:r>
              <m:t>y</m:t>
            </m:r>
          </m:e>
          <m:sub>
            <m:r>
              <m:t>i</m:t>
            </m:r>
            <m:r>
              <m:rPr>
                <m:sty m:val="p"/>
              </m:rPr>
              <m:t>,</m:t>
            </m:r>
            <m:r>
              <m:t>t</m:t>
            </m:r>
          </m:sub>
        </m:sSub>
      </m:oMath>
      <w:r>
        <w:t xml:space="preserve"> </w:t>
      </w:r>
      <w:r>
        <w:rPr>
          <w:rFonts w:hint="eastAsia"/>
        </w:rPr>
        <w:t xml:space="preserve">表示公司</w:t>
      </w:r>
      <w:r>
        <w:t xml:space="preserve"> </w:t>
      </w:r>
      <m:oMath>
        <m:r>
          <m:t>i</m:t>
        </m:r>
      </m:oMath>
      <w:r>
        <w:t xml:space="preserve"> </w:t>
      </w:r>
      <w:r>
        <w:rPr>
          <w:rFonts w:hint="eastAsia"/>
        </w:rPr>
        <w:t xml:space="preserve">在时期</w:t>
      </w:r>
      <w:r>
        <w:t xml:space="preserve"> </w:t>
      </w:r>
      <m:oMath>
        <m:r>
          <m:t>t</m:t>
        </m:r>
      </m:oMath>
      <w:r>
        <w:t xml:space="preserve"> </w:t>
      </w:r>
      <w:r>
        <w:rPr>
          <w:rFonts w:hint="eastAsia"/>
        </w:rPr>
        <w:t xml:space="preserve">的定价效率指标，基准回归中主要使用价格延迟；</w:t>
      </w:r>
      <m:oMath>
        <m:r>
          <m:t>D</m:t>
        </m:r>
        <m:r>
          <m:t>I</m:t>
        </m:r>
        <m:sSub>
          <m:e>
            <m:r>
              <m:t>D</m:t>
            </m:r>
          </m:e>
          <m:sub>
            <m:r>
              <m:t>i</m:t>
            </m:r>
            <m:r>
              <m:rPr>
                <m:sty m:val="p"/>
              </m:rPr>
              <m:t>,</m:t>
            </m:r>
            <m:r>
              <m:t>t</m:t>
            </m:r>
          </m:sub>
        </m:sSub>
      </m:oMath>
      <w:r>
        <w:t xml:space="preserve"> </w:t>
      </w:r>
      <w:r>
        <w:rPr>
          <w:rFonts w:hint="eastAsia"/>
        </w:rPr>
        <w:t xml:space="preserve">表示该公司在该时期是否已经进入做市制度覆盖范围；</w:t>
      </w:r>
      <m:oMath>
        <m:sSub>
          <m:e>
            <m:r>
              <m:t>X</m:t>
            </m:r>
          </m:e>
          <m:sub>
            <m:r>
              <m:t>i</m:t>
            </m:r>
            <m:r>
              <m:rPr>
                <m:sty m:val="p"/>
              </m:rPr>
              <m:t>,</m:t>
            </m:r>
            <m:r>
              <m:t>t</m:t>
            </m:r>
          </m:sub>
        </m:sSub>
      </m:oMath>
      <w:r>
        <w:t xml:space="preserve"> </w:t>
      </w:r>
      <w:r>
        <w:rPr>
          <w:rFonts w:hint="eastAsia"/>
        </w:rPr>
        <w:t xml:space="preserve">为控制变量向量；</w:t>
      </w:r>
      <m:oMath>
        <m:sSub>
          <m:e>
            <m:r>
              <m:t>μ</m:t>
            </m:r>
          </m:e>
          <m:sub>
            <m:r>
              <m:t>i</m:t>
            </m:r>
          </m:sub>
        </m:sSub>
      </m:oMath>
      <w:r>
        <w:t xml:space="preserve"> </w:t>
      </w:r>
      <w:r>
        <w:rPr>
          <w:rFonts w:hint="eastAsia"/>
        </w:rPr>
        <w:t xml:space="preserve">为公司固定效应；</w:t>
      </w:r>
      <m:oMath>
        <m:sSub>
          <m:e>
            <m:r>
              <m:t>λ</m:t>
            </m:r>
          </m:e>
          <m:sub>
            <m:r>
              <m:t>t</m:t>
            </m:r>
          </m:sub>
        </m:sSub>
      </m:oMath>
      <w:r>
        <w:t xml:space="preserve"> </w:t>
      </w:r>
      <w:r>
        <w:rPr>
          <w:rFonts w:hint="eastAsia"/>
        </w:rPr>
        <w:t xml:space="preserve">为年月固定效应；</w:t>
      </w:r>
      <m:oMath>
        <m:sSub>
          <m:e>
            <m:r>
              <m:t>ε</m:t>
            </m:r>
          </m:e>
          <m:sub>
            <m:r>
              <m:t>i</m:t>
            </m:r>
            <m:r>
              <m:rPr>
                <m:sty m:val="p"/>
              </m:rPr>
              <m:t>,</m:t>
            </m:r>
            <m:r>
              <m:t>t</m:t>
            </m:r>
          </m:sub>
        </m:sSub>
      </m:oMath>
      <w:r>
        <w:t xml:space="preserve"> </w:t>
      </w:r>
      <w:r>
        <w:rPr>
          <w:rFonts w:hint="eastAsia"/>
        </w:rPr>
        <w:t xml:space="preserve">为随机误差项。标准误在公司层面聚类，以缓解同一公司不同期误差项相关带来的统计推断偏误。</w:t>
      </w:r>
    </w:p>
    <w:p>
      <w:pPr>
        <w:pStyle w:val="BodyText"/>
      </w:pPr>
      <w:r>
        <w:rPr>
          <w:rFonts w:hint="eastAsia"/>
        </w:rPr>
        <w:t xml:space="preserve">这一模型的核心参数是</w:t>
      </w:r>
      <w:r>
        <w:t xml:space="preserve"> </w:t>
      </w:r>
      <m:oMath>
        <m:r>
          <m:t>β</m:t>
        </m:r>
      </m:oMath>
      <w:r>
        <w:rPr>
          <w:rFonts w:hint="eastAsia"/>
        </w:rPr>
        <w:t xml:space="preserve">。如果做市商制度能够提高定价效率，那么在以价格延迟为因变量时，预期</w:t>
      </w:r>
      <w:r>
        <w:t xml:space="preserve"> </w:t>
      </w:r>
      <m:oMath>
        <m:r>
          <m:t>β</m:t>
        </m:r>
      </m:oMath>
      <w:r>
        <w:t xml:space="preserve"> </w:t>
      </w:r>
      <w:r>
        <w:rPr>
          <w:rFonts w:hint="eastAsia"/>
        </w:rPr>
        <w:t xml:space="preserve">为负。原因很简单：制度实施后，若股票价格吸收信息更快，价格延迟就会下降。若在稳健性检验中使用股价同步性等“数值越大代表效率越低”的指标，也同样预期核心系数为负。</w:t>
      </w:r>
    </w:p>
    <w:p>
      <w:pPr>
        <w:pStyle w:val="BodyText"/>
      </w:pPr>
      <w:r>
        <w:rPr>
          <w:rFonts w:hint="eastAsia"/>
        </w:rPr>
        <w:t xml:space="preserve">采用双向固定效应有明确考虑。公司固定效应用来控制那些不随时间变化、但又可能影响定价效率的企业特征，例如治理水平、行业属性和商业模式。年月固定效应用来吸收宏观经济波动、市场情绪变化以及其他同期制度安排的共同影响。这样处理后，模型更接近比较“同一家公司在进入做市制度前后发生了什么变化”。</w:t>
      </w:r>
    </w:p>
    <w:bookmarkEnd w:id="15"/>
    <w:bookmarkStart w:id="16" w:name="事件研究模型"/>
    <w:p>
      <w:pPr>
        <w:pStyle w:val="5"/>
      </w:pPr>
      <w:r>
        <w:t xml:space="preserve">2. </w:t>
      </w:r>
      <w:r>
        <w:rPr>
          <w:rFonts w:hint="eastAsia"/>
        </w:rPr>
        <w:t xml:space="preserve">事件研究模型</w:t>
      </w:r>
    </w:p>
    <w:p>
      <w:pPr>
        <w:pStyle w:val="FirstParagraph"/>
      </w:pPr>
      <w:r>
        <w:rPr>
          <w:rFonts w:hint="eastAsia"/>
        </w:rPr>
        <w:t xml:space="preserve">为了考察做市商制度的动态效应，并检验平行趋势假设，进一步构造事件研究模型：</w:t>
      </w:r>
    </w:p>
    <w:p>
      <w:pPr>
        <w:pStyle w:val="BodyText"/>
      </w:pPr>
      <m:oMathPara>
        <m:oMathParaPr>
          <m:jc m:val="center"/>
        </m:oMathParaPr>
        <m:oMath>
          <m:r>
            <m:t>E</m:t>
          </m:r>
          <m:r>
            <m:t>f</m:t>
          </m:r>
          <m:r>
            <m:t>f</m:t>
          </m:r>
          <m:r>
            <m:t>i</m:t>
          </m:r>
          <m:r>
            <m:t>c</m:t>
          </m:r>
          <m:r>
            <m:t>i</m:t>
          </m:r>
          <m:r>
            <m:t>e</m:t>
          </m:r>
          <m:r>
            <m:t>n</m:t>
          </m:r>
          <m:r>
            <m:t>c</m:t>
          </m:r>
          <m:sSub>
            <m:e>
              <m:r>
                <m:t>y</m:t>
              </m:r>
            </m:e>
            <m:sub>
              <m:r>
                <m:t>i</m:t>
              </m:r>
              <m:r>
                <m:rPr>
                  <m:sty m:val="p"/>
                </m:rPr>
                <m:t>,</m:t>
              </m:r>
              <m:r>
                <m:t>t</m:t>
              </m:r>
            </m:sub>
          </m:sSub>
          <m:r>
            <m:rPr>
              <m:sty m:val="p"/>
            </m:rPr>
            <m:t>=</m:t>
          </m:r>
          <m:r>
            <m:t>α</m:t>
          </m:r>
          <m:r>
            <m:rPr>
              <m:sty m:val="p"/>
            </m:rPr>
            <m:t>+</m:t>
          </m:r>
          <m:nary>
            <m:naryPr>
              <m:chr m:val="∑"/>
              <m:limLoc m:val="undOvr"/>
              <m:subHide m:val="off"/>
              <m:supHide m:val="on"/>
            </m:naryPr>
            <m:sub>
              <m:r>
                <m:t>k</m:t>
              </m:r>
              <m:r>
                <m:rPr>
                  <m:sty m:val="p"/>
                </m:rPr>
                <m:t>≠</m:t>
              </m:r>
              <m:r>
                <m:rPr>
                  <m:sty m:val="p"/>
                </m:rPr>
                <m:t>−</m:t>
              </m:r>
              <m:r>
                <m:t>1</m:t>
              </m:r>
            </m:sub>
            <m:sup>
              <m:r>
                <m:t>​</m:t>
              </m:r>
            </m:sup>
            <m:e>
              <m:sSub>
                <m:e>
                  <m:r>
                    <m:t>β</m:t>
                  </m:r>
                </m:e>
                <m:sub>
                  <m:r>
                    <m:t>k</m:t>
                  </m:r>
                </m:sub>
              </m:sSub>
            </m:e>
          </m:nary>
          <m:r>
            <m:t>E</m:t>
          </m:r>
          <m:r>
            <m:t>v</m:t>
          </m:r>
          <m:r>
            <m:t>e</m:t>
          </m:r>
          <m:r>
            <m:t>n</m:t>
          </m:r>
          <m:sSubSup>
            <m:e>
              <m:r>
                <m:t>t</m:t>
              </m:r>
            </m:e>
            <m:sub>
              <m:r>
                <m:t>i</m:t>
              </m:r>
              <m:r>
                <m:rPr>
                  <m:sty m:val="p"/>
                </m:rPr>
                <m:t>,</m:t>
              </m:r>
              <m:r>
                <m:t>t</m:t>
              </m:r>
            </m:sub>
            <m:sup>
              <m:r>
                <m:t>k</m:t>
              </m:r>
            </m:sup>
          </m:sSubSup>
          <m:r>
            <m:rPr>
              <m:sty m:val="p"/>
            </m:rPr>
            <m:t>+</m:t>
          </m:r>
          <m:r>
            <m:t>γ</m:t>
          </m:r>
          <m:sSub>
            <m:e>
              <m:r>
                <m:t>X</m:t>
              </m:r>
            </m:e>
            <m:sub>
              <m:r>
                <m:t>i</m:t>
              </m:r>
              <m:r>
                <m:rPr>
                  <m:sty m:val="p"/>
                </m:rPr>
                <m:t>,</m:t>
              </m:r>
              <m:r>
                <m:t>t</m:t>
              </m:r>
            </m:sub>
          </m:sSub>
          <m:r>
            <m:rPr>
              <m:sty m:val="p"/>
            </m:rPr>
            <m:t>+</m:t>
          </m:r>
          <m:sSub>
            <m:e>
              <m:r>
                <m:t>μ</m:t>
              </m:r>
            </m:e>
            <m:sub>
              <m:r>
                <m:t>i</m:t>
              </m:r>
            </m:sub>
          </m:sSub>
          <m:r>
            <m:rPr>
              <m:sty m:val="p"/>
            </m:rPr>
            <m:t>+</m:t>
          </m:r>
          <m:sSub>
            <m:e>
              <m:r>
                <m:t>λ</m:t>
              </m:r>
            </m:e>
            <m:sub>
              <m:r>
                <m:t>t</m:t>
              </m:r>
            </m:sub>
          </m:sSub>
          <m:r>
            <m:rPr>
              <m:sty m:val="p"/>
            </m:rPr>
            <m:t>+</m:t>
          </m:r>
          <m:sSub>
            <m:e>
              <m:r>
                <m:t>ε</m:t>
              </m:r>
            </m:e>
            <m:sub>
              <m:r>
                <m:t>i</m:t>
              </m:r>
              <m:r>
                <m:rPr>
                  <m:sty m:val="p"/>
                </m:rPr>
                <m:t>,</m:t>
              </m:r>
              <m:r>
                <m:t>t</m:t>
              </m:r>
            </m:sub>
          </m:sSub>
        </m:oMath>
      </m:oMathPara>
    </w:p>
    <w:p>
      <w:pPr>
        <w:pStyle w:val="FirstParagraph"/>
      </w:pPr>
      <w:r>
        <w:rPr>
          <w:rFonts w:hint="eastAsia"/>
        </w:rPr>
        <w:t xml:space="preserve">其中，</w:t>
      </w:r>
      <m:oMath>
        <m:r>
          <m:t>E</m:t>
        </m:r>
        <m:r>
          <m:t>v</m:t>
        </m:r>
        <m:r>
          <m:t>e</m:t>
        </m:r>
        <m:r>
          <m:t>n</m:t>
        </m:r>
        <m:sSubSup>
          <m:e>
            <m:r>
              <m:t>t</m:t>
            </m:r>
          </m:e>
          <m:sub>
            <m:r>
              <m:t>i</m:t>
            </m:r>
            <m:r>
              <m:rPr>
                <m:sty m:val="p"/>
              </m:rPr>
              <m:t>,</m:t>
            </m:r>
            <m:r>
              <m:t>t</m:t>
            </m:r>
          </m:sub>
          <m:sup>
            <m:r>
              <m:t>k</m:t>
            </m:r>
          </m:sup>
        </m:sSubSup>
      </m:oMath>
      <w:r>
        <w:t xml:space="preserve"> </w:t>
      </w:r>
      <w:r>
        <w:rPr>
          <w:rFonts w:hint="eastAsia"/>
        </w:rPr>
        <w:t xml:space="preserve">表示公司</w:t>
      </w:r>
      <w:r>
        <w:t xml:space="preserve"> </w:t>
      </w:r>
      <m:oMath>
        <m:r>
          <m:t>i</m:t>
        </m:r>
      </m:oMath>
      <w:r>
        <w:t xml:space="preserve"> </w:t>
      </w:r>
      <w:r>
        <w:rPr>
          <w:rFonts w:hint="eastAsia"/>
        </w:rPr>
        <w:t xml:space="preserve">在时期</w:t>
      </w:r>
      <w:r>
        <w:t xml:space="preserve"> </w:t>
      </w:r>
      <m:oMath>
        <m:r>
          <m:t>t</m:t>
        </m:r>
      </m:oMath>
      <w:r>
        <w:t xml:space="preserve"> </w:t>
      </w:r>
      <w:r>
        <w:rPr>
          <w:rFonts w:hint="eastAsia"/>
        </w:rPr>
        <w:t xml:space="preserve">相对于首次纳入做市月份前后第</w:t>
      </w:r>
      <w:r>
        <w:t xml:space="preserve"> </w:t>
      </w:r>
      <m:oMath>
        <m:r>
          <m:t>k</m:t>
        </m:r>
      </m:oMath>
      <w:r>
        <w:t xml:space="preserve"> </w:t>
      </w:r>
      <w:r>
        <w:rPr>
          <w:rFonts w:hint="eastAsia"/>
        </w:rPr>
        <w:t xml:space="preserve">期的事件时点虚拟变量。通常将政策实施前一期设为基准组并省略。其余变量与基准模型相同。</w:t>
      </w:r>
    </w:p>
    <w:p>
      <w:pPr>
        <w:pStyle w:val="BodyText"/>
      </w:pPr>
      <w:r>
        <w:rPr>
          <w:rFonts w:hint="eastAsia"/>
        </w:rPr>
        <w:t xml:space="preserve">这一模型有两个主要用途。第一，可以检验平行趋势。如果制度实施前各期系数整体不显著，就说明处理组和对照组在政策发生前没有明显不同的趋势，DID</w:t>
      </w:r>
      <w:r>
        <w:t xml:space="preserve"> </w:t>
      </w:r>
      <w:r>
        <w:rPr>
          <w:rFonts w:hint="eastAsia"/>
        </w:rPr>
        <w:t xml:space="preserve">的识别基础较为稳固。第二，可以观察动态效应。如果制度实施后的系数在进入做市后逐渐变得显著，就说明制度影响不是瞬时完成的，而是需要一段时间才显现出来；如果后续系数持续存在，则说明制度效果具有一定持续性。</w:t>
      </w:r>
    </w:p>
    <w:p>
      <w:pPr>
        <w:pStyle w:val="BodyText"/>
      </w:pPr>
      <w:r>
        <w:rPr>
          <w:rFonts w:hint="eastAsia"/>
        </w:rPr>
        <w:t xml:space="preserve">对于这一研究而言，事件研究不是简单的附加检验，而是理解制度作用节奏的重要工具。做市商制度会影响交易摩擦、投资者行为和价格调整速度，这些影响未必会在同一个月全部完成。动态估计因此能够帮助更清楚地理解制度作用是如何形成的。</w:t>
      </w:r>
    </w:p>
    <w:bookmarkEnd w:id="16"/>
    <w:bookmarkEnd w:id="17"/>
    <w:bookmarkStart w:id="18" w:name="四描述性统计与相关性分析"/>
    <w:p>
      <w:pPr>
        <w:pStyle w:val="4"/>
      </w:pPr>
      <w:r>
        <w:rPr>
          <w:rFonts w:hint="eastAsia"/>
        </w:rPr>
        <w:t xml:space="preserve">（四）描述性统计与相关性分析</w:t>
      </w:r>
    </w:p>
    <w:p>
      <w:pPr>
        <w:pStyle w:val="FirstParagraph"/>
      </w:pPr>
      <w:r>
        <w:rPr>
          <w:rFonts w:hint="eastAsia"/>
        </w:rPr>
        <w:t xml:space="preserve">本节主要起两个作用：一是介绍样本和变量的基本分布；二是为后续回归提供必要的直观背景。</w:t>
      </w:r>
    </w:p>
    <w:p>
      <w:pPr>
        <w:pStyle w:val="BodyText"/>
      </w:pPr>
      <w:r>
        <w:rPr>
          <w:rFonts w:hint="eastAsia"/>
        </w:rPr>
        <w:t xml:space="preserve">在描述性统计部分，需要报告主要变量的均值、标准差、最小值和最大值。这样做并不只是为了展示数据概况，更重要的是检验变量分布是否合理、极端值是否过多，以及样本是否符合科创板科技企业的基本特征。一般来说，价格延迟、股价同步性等定价效率指标应当存在明显的公司间差异；市值、研发强度和机构持股比例也通常具有较强离散性。这种离散性本身就说明，科创板企业在规模、成长性和信息环境上确实存在显著异质性。</w:t>
      </w:r>
    </w:p>
    <w:p>
      <w:pPr>
        <w:pStyle w:val="BodyText"/>
      </w:pPr>
      <w:r>
        <w:rPr>
          <w:rFonts w:hint="eastAsia"/>
        </w:rPr>
        <w:t xml:space="preserve">在相关性分析部分，主要关注两点。第一，做市商制度变量与定价效率变量之间的简单相关关系是否与理论预期一致。若进入做市制度后，价格延迟倾向于下降，那么两者应表现出负向关系。第二，控制变量之间是否存在过强相关，以避免明显的多重共线性问题。如果公司规模、机构持股比例等变量之间的相关系数处于合理范围，那么后续回归结果通常更容易解释。</w:t>
      </w:r>
    </w:p>
    <w:p>
      <w:pPr>
        <w:pStyle w:val="BodyText"/>
      </w:pPr>
      <w:r>
        <w:rPr>
          <w:rFonts w:hint="eastAsia"/>
        </w:rPr>
        <w:t xml:space="preserve">当然，描述性统计和相关性分析只能提供初步事实，不能直接支持因果推断。变量之间的简单相关可能同时受到企业特征、市场环境和其他制度因素的影响。因此，真正的识别仍然要依赖多期</w:t>
      </w:r>
      <w:r>
        <w:t xml:space="preserve"> DID </w:t>
      </w:r>
      <w:r>
        <w:rPr>
          <w:rFonts w:hint="eastAsia"/>
        </w:rPr>
        <w:t xml:space="preserve">和事件研究模型。不过，这一步依然不可省略，因为它能够介绍样本结构的基本情况，也为后续结果解释提供更直观的背景。</w:t>
      </w:r>
    </w:p>
    <w:bookmarkEnd w:id="18"/>
    <w:bookmarkEnd w:id="19"/>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黑">
    <w:altName w:val="黑体"/>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val="1"/>
  <w:bordersDoNotSurroundFooter w:val="1"/>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3336C"/>
    <w:rsid w:val="3113336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line="360" w:lineRule="auto"/>
      <w:ind w:firstLine="883" w:firstLineChars="200"/>
      <w:jc w:val="both"/>
    </w:pPr>
    <w:rPr>
      <w:rFonts w:ascii="Times New Roman" w:cstheme="minorBidi" w:eastAsia="宋体" w:hAnsi="Times New Roman"/>
      <w:kern w:val="2"/>
      <w:sz w:val="24"/>
      <w:szCs w:val="24"/>
      <w:lang w:bidi="ar-SA" w:eastAsia="zh-CN" w:val="en-US"/>
    </w:rPr>
  </w:style>
  <w:style w:styleId="2" w:type="paragraph">
    <w:name w:val="heading 1"/>
    <w:basedOn w:val="1"/>
    <w:next w:val="1"/>
    <w:qFormat/>
    <w:uiPriority w:val="0"/>
    <w:pPr>
      <w:keepNext/>
      <w:keepLines/>
      <w:spacing w:after="330" w:afterAutospacing="0" w:afterLines="0" w:before="340" w:beforeAutospacing="0" w:beforeLines="0" w:line="360" w:lineRule="auto"/>
      <w:outlineLvl w:val="0"/>
    </w:pPr>
    <w:rPr>
      <w:rFonts w:asciiTheme="minorAscii" w:hAnsiTheme="minorAscii"/>
      <w:b/>
      <w:kern w:val="44"/>
      <w:sz w:val="44"/>
    </w:rPr>
  </w:style>
  <w:style w:styleId="3" w:type="paragraph">
    <w:name w:val="heading 2"/>
    <w:basedOn w:val="1"/>
    <w:next w:val="1"/>
    <w:semiHidden/>
    <w:unhideWhenUsed/>
    <w:qFormat/>
    <w:uiPriority w:val="0"/>
    <w:pPr>
      <w:keepNext/>
      <w:keepLines/>
      <w:spacing w:after="260" w:afterAutospacing="0" w:afterLines="0" w:before="260" w:beforeAutospacing="0" w:beforeLines="0" w:line="360" w:lineRule="auto"/>
      <w:ind w:firstLine="883" w:firstLineChars="200"/>
      <w:outlineLvl w:val="1"/>
    </w:pPr>
    <w:rPr>
      <w:rFonts w:ascii="Arial" w:eastAsia="宋体" w:hAnsi="Arial"/>
      <w:b/>
      <w:sz w:val="28"/>
    </w:rPr>
  </w:style>
  <w:style w:styleId="4" w:type="paragraph">
    <w:name w:val="heading 3"/>
    <w:basedOn w:val="1"/>
    <w:next w:val="1"/>
    <w:semiHidden/>
    <w:unhideWhenUsed/>
    <w:qFormat/>
    <w:uiPriority w:val="0"/>
    <w:pPr>
      <w:keepNext/>
      <w:keepLines/>
      <w:spacing w:after="260" w:afterAutospacing="0" w:afterLines="0" w:before="260" w:beforeAutospacing="0" w:beforeLines="0" w:line="360" w:lineRule="auto"/>
      <w:ind w:firstLine="1325" w:firstLineChars="300"/>
      <w:outlineLvl w:val="2"/>
    </w:pPr>
    <w:rPr>
      <w:rFonts w:asciiTheme="minorAscii" w:eastAsia="宋体" w:hAnsiTheme="minorAscii"/>
      <w:b/>
      <w:sz w:val="24"/>
    </w:rPr>
  </w:style>
  <w:style w:styleId="5" w:type="paragraph">
    <w:name w:val="heading 4"/>
    <w:basedOn w:val="1"/>
    <w:next w:val="1"/>
    <w:semiHidden/>
    <w:unhideWhenUsed/>
    <w:qFormat/>
    <w:uiPriority w:val="0"/>
    <w:pPr>
      <w:keepNext/>
      <w:keepLines/>
      <w:spacing w:after="290" w:afterAutospacing="0" w:afterLines="0" w:before="280" w:beforeAutospacing="0" w:beforeLines="0" w:line="360" w:lineRule="auto"/>
      <w:ind w:firstLine="1325" w:firstLineChars="300"/>
      <w:outlineLvl w:val="3"/>
    </w:pPr>
    <w:rPr>
      <w:rFonts w:ascii="Arial" w:eastAsia="宋体" w:hAnsi="Arial"/>
      <w:b/>
      <w:sz w:val="24"/>
    </w:rPr>
  </w:style>
  <w:style w:default="1" w:styleId="7" w:type="character">
    <w:name w:val="Default Paragraph Font"/>
    <w:semiHidden/>
    <w:uiPriority w:val="0"/>
  </w:style>
  <w:style w:default="1" w:styleId="6" w:type="table">
    <w:name w:val="Normal Table"/>
    <w:semiHidden/>
    <w:qFormat/>
    <w:uiPriority w:val="0"/>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2026-04-16T15:36:07Z</dcterms:created>
  <dcterms:modified xsi:type="dcterms:W3CDTF">2026-04-16T15:36:07Z</dcterms:modified>
</cp:coreProperties>
</file>

<file path=docProps/custom.xml><?xml version="1.0" encoding="utf-8"?>
<Properties xmlns="http://schemas.openxmlformats.org/officeDocument/2006/custom-properties" xmlns:vt="http://schemas.openxmlformats.org/officeDocument/2006/docPropsVTypes"/>
</file>