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文献综述"/>
    <w:p>
      <w:pPr>
        <w:pStyle w:val="3"/>
      </w:pPr>
      <w:r>
        <w:rPr>
          <w:rFonts w:hint="eastAsia"/>
        </w:rPr>
        <w:t xml:space="preserve">文献综述</w:t>
      </w:r>
    </w:p>
    <w:bookmarkStart w:id="9" w:name="一科创板做市商制度有效性证据"/>
    <w:p>
      <w:pPr>
        <w:pStyle w:val="4"/>
      </w:pPr>
      <w:r>
        <w:rPr>
          <w:rFonts w:hint="eastAsia"/>
        </w:rPr>
        <w:t xml:space="preserve">（一）科创板做市商制度有效性证据</w:t>
      </w:r>
    </w:p>
    <w:p>
      <w:pPr>
        <w:pStyle w:val="FirstParagraph"/>
      </w:pPr>
      <w:r>
        <w:rPr>
          <w:rFonts w:hint="eastAsia"/>
        </w:rPr>
        <w:t xml:space="preserve">关于“做市商制度是否提升定价效率”，最直接的证据来自科创板本身。Li</w:t>
      </w:r>
      <w:r>
        <w:t xml:space="preserve"> et al. (2025) [*] </w:t>
      </w:r>
      <w:r>
        <w:rPr>
          <w:rFonts w:hint="eastAsia"/>
        </w:rPr>
        <w:t xml:space="preserve">将</w:t>
      </w:r>
      <w:r>
        <w:t xml:space="preserve"> 2022 </w:t>
      </w:r>
      <w:r>
        <w:rPr>
          <w:rFonts w:hint="eastAsia"/>
        </w:rPr>
        <w:t xml:space="preserve">年</w:t>
      </w:r>
      <w:r>
        <w:t xml:space="preserve"> 10 </w:t>
      </w:r>
      <w:r>
        <w:rPr>
          <w:rFonts w:hint="eastAsia"/>
        </w:rPr>
        <w:t xml:space="preserve">月</w:t>
      </w:r>
      <w:r>
        <w:t xml:space="preserve"> 31 </w:t>
      </w:r>
      <w:r>
        <w:rPr>
          <w:rFonts w:hint="eastAsia"/>
        </w:rPr>
        <w:t xml:space="preserve">日科创板正式引入做市商视为准自然实验，采用改进的多期双重差分方法考察做市商对价格效率的影响。研究发现，做市商进入后，科创板股票的短期定价效率明显改善，自相关和方差比等高频指标显著下降，但对长期价格发现的促进较弱，部分长期指标仅表现出弱显著或经济幅度较小的结果。这一结论说明，做市商更可能是在加快短期信息吸收，而不是彻底改变长期估值形成机制。对后文研究设计来说，这一点很重要，因为它提示定价效率不能只用一个指标来衡量，最好区分短期效率和中长期效率，也要为“部分指标显著、部分指标不显著”的结果预留解释空间。</w:t>
      </w:r>
    </w:p>
    <w:p>
      <w:pPr>
        <w:pStyle w:val="BodyText"/>
      </w:pPr>
      <w:r>
        <w:rPr>
          <w:rFonts w:hint="eastAsia"/>
        </w:rPr>
        <w:t xml:space="preserve">国内关于科创板做市制度的研究，较早更多集中在流动性层面。有关“科创板做市商制度建设：机制、成效与启示”的研究</w:t>
      </w:r>
      <w:r>
        <w:t xml:space="preserve"> [*] </w:t>
      </w:r>
      <w:r>
        <w:rPr>
          <w:rFonts w:hint="eastAsia"/>
        </w:rPr>
        <w:t xml:space="preserve">以做市商引入为制度冲击，采用多时点</w:t>
      </w:r>
      <w:r>
        <w:t xml:space="preserve"> DID </w:t>
      </w:r>
      <w:r>
        <w:rPr>
          <w:rFonts w:hint="eastAsia"/>
        </w:rPr>
        <w:t xml:space="preserve">发现，做市商总体上显著降低了价格冲击和相对有效价差，提升了市场流动性，而且这一作用在熊市、小市值公司、做市前流动性较差股票以及非博彩型股票中更为明显。这类研究虽然主要考察流动性，而不是直接考察定价效率，但它至少说明，做市商确实改变了科创板股票的交易环境。换句话说，现有研究已经较好回答了“做市商是否改善交易摩擦”，但对“这种改善是否进一步转化为定价效率提高”讨论还不够充分，这也正是后续研究需要继续推进的地方。</w:t>
      </w:r>
    </w:p>
    <w:p>
      <w:pPr>
        <w:pStyle w:val="BodyText"/>
      </w:pPr>
      <w:r>
        <w:rPr>
          <w:rFonts w:hint="eastAsia"/>
        </w:rPr>
        <w:t xml:space="preserve">如果把科创板放在更广的制度改革背景下看，相关研究同样表明，市场化定价机制改革通常有助于提升价格发现效率。张宗新、吴钊颖在《科创板基础性制度改革能否提升市场定价效率？》一文中指出，科创板注册制下的询价机制改革和价格限制改革共同提升了市场定价效率，具体表现为股价同步性下降、价格延迟减弱以及</w:t>
      </w:r>
      <w:r>
        <w:t xml:space="preserve"> IPO </w:t>
      </w:r>
      <w:r>
        <w:rPr>
          <w:rFonts w:hint="eastAsia"/>
        </w:rPr>
        <w:t xml:space="preserve">定价偏差收敛</w:t>
      </w:r>
      <w:r>
        <w:t xml:space="preserve"> </w:t>
      </w:r>
      <w:r>
        <w:rPr>
          <w:rFonts w:hint="eastAsia"/>
        </w:rPr>
        <w:t xml:space="preserve">[]。不过，这类研究考察的是制度改革组合的整体效果，而不是做市商制度的单独效应。类似地，《科创板制度改革的效果——基于股票定价效率、流动性和上市公司质量的研究》也发现，科创板在</w:t>
      </w:r>
      <w:r>
        <w:t xml:space="preserve"> IPO </w:t>
      </w:r>
      <w:r>
        <w:rPr>
          <w:rFonts w:hint="eastAsia"/>
        </w:rPr>
        <w:t xml:space="preserve">阶段和正常交易阶段的部分定价效率指标上优于主板，但并不是所有指标都同时显著，例如正常交易阶段的方差比例指标并不显著，进一步控制选择偏差后，部分结果的显著性还会下降</w:t>
      </w:r>
      <w:r>
        <w:t xml:space="preserve"> </w:t>
      </w:r>
      <w:r>
        <w:rPr>
          <w:rFonts w:hint="eastAsia"/>
        </w:rPr>
        <w:t xml:space="preserve">[]。这类文献的价值在于，它们表明科创板制度改革带来的效率改善本身就可能是分阶段、分指标体现的，而不是所有口径下都呈现同样强度的结果。对本文来说，这既为价格延迟、股价同步性等指标在科创板场景中的使用提供了依据，也提示我们在解释做市商制度效应时需要保持审慎。</w:t>
      </w:r>
    </w:p>
    <w:bookmarkEnd w:id="9"/>
    <w:bookmarkStart w:id="10" w:name="二做市商影响定价效率的机制证据"/>
    <w:p>
      <w:pPr>
        <w:pStyle w:val="4"/>
      </w:pPr>
      <w:r>
        <w:rPr>
          <w:rFonts w:hint="eastAsia"/>
        </w:rPr>
        <w:t xml:space="preserve">（二）做市商影响定价效率的机制证据</w:t>
      </w:r>
    </w:p>
    <w:p>
      <w:pPr>
        <w:pStyle w:val="FirstParagraph"/>
      </w:pPr>
      <w:r>
        <w:rPr>
          <w:rFonts w:hint="eastAsia"/>
        </w:rPr>
        <w:t xml:space="preserve">现有研究普遍认为，做市商并不是直接“生产”信息，而是通过改变交易摩擦、信息不对称和噪声波动，间接影响价格形成。Li</w:t>
      </w:r>
      <w:r>
        <w:t xml:space="preserve"> et al. (2025) [*] </w:t>
      </w:r>
      <w:r>
        <w:rPr>
          <w:rFonts w:hint="eastAsia"/>
        </w:rPr>
        <w:t xml:space="preserve">的机制检验显示，做市商对科创板短期定价效率的改善主要来自两个渠道：一是压缩有效价差、降低交易成本，二是平滑噪声交易引发的极端价格波动。相比之下，做市商作为额外信息生产者的证据并不强，相关结果要么经济幅度较小，要么仅表现为弱支持。这一发现的重要性在于，它把“做市商提升定价效率”从一般性判断推进到了可检验的机制层面，也说明做市商更像是在改善信息进入价格的过程，而不是单独承担基本面信息发现功能。基于这一点，后文机制分析更适合围绕流动性、信息不对称和波动率展开，而不宜预设做市商一定会显著增强独立信息生产。</w:t>
      </w:r>
    </w:p>
    <w:p>
      <w:pPr>
        <w:pStyle w:val="BodyText"/>
      </w:pPr>
      <w:r>
        <w:rPr>
          <w:rFonts w:hint="eastAsia"/>
        </w:rPr>
        <w:t xml:space="preserve">新三板市场的研究进一步强化了“交易成本渠道”的解释。关于《基于中国新三板市场的做市商竞争与定价效率研究》的研究发现，做市商数量越多、竞争越充分，股票定价效率越高；其中最稳健的一条路径，就是做市商竞争通过压缩买卖价差、降低非流动性、提升成交量来促进信息更快进入价格</w:t>
      </w:r>
      <w:r>
        <w:t xml:space="preserve"> </w:t>
      </w:r>
      <w:r>
        <w:rPr>
          <w:rFonts w:hint="eastAsia"/>
        </w:rPr>
        <w:t xml:space="preserve">[*]。这一结论说明，做市商制度的效果不只取决于“有没有做市商”，还取决于做市商之间的竞争程度和服务质量。对本文来说，这至少有两层启发。第一，做市制度改善定价效率并不是自动发生的，它往往要通过交易摩擦下降这一中间环节实现。第二，即使基准模型主要关注“是否纳入做市”的平均处理效应，也应承认做市商能力和竞争状态可能影响制度效果的强弱。</w:t>
      </w:r>
    </w:p>
    <w:p>
      <w:pPr>
        <w:pStyle w:val="BodyText"/>
      </w:pPr>
      <w:r>
        <w:rPr>
          <w:rFonts w:hint="eastAsia"/>
        </w:rPr>
        <w:t xml:space="preserve">在更广义的市场效率研究中，做市制度也常被视为改善价格发现的一种微观结构安排。《引入做市商制度前后的中国国债期货市场效率比较研究》发现，做市商引入后，国债期货市场的信息效率、价格发现能力和套期保值效率均有所提高</w:t>
      </w:r>
      <w:r>
        <w:t xml:space="preserve"> </w:t>
      </w:r>
      <w:r>
        <w:rPr>
          <w:rFonts w:hint="eastAsia"/>
        </w:rPr>
        <w:t xml:space="preserve">[*]。这说明，在流动性不足或价格发现机制不够完善的市场中，做市商往往能通过连续报价和稳定交易预期提高市场效率。虽然国债期货与科创板股票在交易制度、投资者结构和资产属性上存在明显差异，但这类研究至少说明，“做市商改善市场效率”并不是只在股票市场成立，而具有更一般的微观结构逻辑。因此，这类跨市场证据更适合作为机制补充，而不是直接作为本文的核心识别依据。</w:t>
      </w:r>
    </w:p>
    <w:p>
      <w:pPr>
        <w:pStyle w:val="BodyText"/>
      </w:pPr>
      <w:r>
        <w:rPr>
          <w:rFonts w:hint="eastAsia"/>
        </w:rPr>
        <w:t xml:space="preserve">还有一些研究提醒我们，做市商对价格波动的影响往往比“提高流动性”更复杂。关于《股票转让方式与极端收益风险——兼论新三板市场引入做市转让制度的经济后果》的研究发现，做市转让相较协议转让可以显著抑制暴涨暴跌等极端收益风险，而且这种作用主要是通过提升流动性实现的，信息有效性路径没有表现出独立的中介作用</w:t>
      </w:r>
      <w:r>
        <w:t xml:space="preserve"> </w:t>
      </w:r>
      <w:r>
        <w:rPr>
          <w:rFonts w:hint="eastAsia"/>
        </w:rPr>
        <w:t xml:space="preserve">[]。该文进一步发现，做市商数量增加并不会继续显著降低极端风险，说明做市制度的边际效果并不一定线性增强。这一结果与</w:t>
      </w:r>
      <w:r>
        <w:t xml:space="preserve"> Li et al. (2025) [] </w:t>
      </w:r>
      <w:r>
        <w:rPr>
          <w:rFonts w:hint="eastAsia"/>
        </w:rPr>
        <w:t xml:space="preserve">中“噪声波动平滑作用更强、额外信息供给作用较弱”的结论是相互呼应的。也就是说，做市商制度对定价效率的贡献，很可能首先表现为减少价格偏离和异常波动，而不是直接增加新的公司信息。这也是为什么后文会把波动率和信息环境并列纳入机制分析。</w:t>
      </w:r>
    </w:p>
    <w:bookmarkEnd w:id="10"/>
    <w:bookmarkStart w:id="11" w:name="三边界条件异质性与流动性悖论"/>
    <w:p>
      <w:pPr>
        <w:pStyle w:val="4"/>
      </w:pPr>
      <w:r>
        <w:rPr>
          <w:rFonts w:hint="eastAsia"/>
        </w:rPr>
        <w:t xml:space="preserve">（三）边界条件、异质性与“流动性悖论”</w:t>
      </w:r>
    </w:p>
    <w:p>
      <w:pPr>
        <w:pStyle w:val="FirstParagraph"/>
      </w:pPr>
      <w:r>
        <w:rPr>
          <w:rFonts w:hint="eastAsia"/>
        </w:rPr>
        <w:t xml:space="preserve">虽然多数研究倾向于支持做市制度改善市场质量，但这种改善并不是在所有股票和所有市场状态下都同样成立。科创板流动性研究表明，做市商制度在熊市、小市值公司、做市前流动性较差股票以及非博彩型股票中作用更强</w:t>
      </w:r>
      <w:r>
        <w:t xml:space="preserve"> []。Li et al. (2025) [] </w:t>
      </w:r>
      <w:r>
        <w:rPr>
          <w:rFonts w:hint="eastAsia"/>
        </w:rPr>
        <w:t xml:space="preserve">也发现，当做市商之间竞争更充分、做市商资金实力更强时，定价效率提升更明显，而且平均处理效应主要来自较早几批引入做市的股票，后续批次的效果相对减弱。这些研究共同说明，做市商制度的效果具有明显的条件依赖性。简单地说，当股票原本交易摩擦更大、信息环境更差或流动性基础更弱时，做市商的边际作用往往更大；反过来，如果市场本身已经较为活跃，或者制度扩散后存在一定外溢效应，那么平均效果就可能减弱。对本文来说，这直接对应了后文异质性分析的必要性，即不能只报告全样本平均效应，还需要观察不同类型企业之间是否存在效果差异。</w:t>
      </w:r>
    </w:p>
    <w:p>
      <w:pPr>
        <w:pStyle w:val="BodyText"/>
      </w:pPr>
      <w:r>
        <w:rPr>
          <w:rFonts w:hint="eastAsia"/>
        </w:rPr>
        <w:t xml:space="preserve">在边界条件研究中，最值得重视的是新三板文献提出的“流动性悖论”。关于《新三板做市交易提高流动性了吗？——基于“流动性悖论”的视角》的研究发现，做市制度并没有普遍提升整体流动性，而是呈现出明显分化：对大盘股有促进作用，对小盘股反而可能抑制流动性</w:t>
      </w:r>
      <w:r>
        <w:t xml:space="preserve"> </w:t>
      </w:r>
      <w:r>
        <w:rPr>
          <w:rFonts w:hint="eastAsia"/>
        </w:rPr>
        <w:t xml:space="preserve">[*]。作者进一步指出，问题并不一定出在做市制度本身，而在于小盘股面临更高的库存风险、更严重的信息不对称以及不足的做市商供给，使得做市商更倾向于采取保守报价策略。这个结论提醒我们，不能把“做市商进入”简单等同于“交易质量改善”。制度效果很可能受到股票规模、信息透明度和做市供给强度的共同制约。</w:t>
      </w:r>
    </w:p>
    <w:p>
      <w:pPr>
        <w:pStyle w:val="BodyText"/>
      </w:pPr>
      <w:r>
        <w:rPr>
          <w:rFonts w:hint="eastAsia"/>
        </w:rPr>
        <w:t xml:space="preserve">虽然本文关注的是科创板而不是新三板，但“流动性悖论”并非没有参考价值。科创板科技企业同样具有高不确定性、高估值分歧和信息解释难度大的特点，因此制度效果也可能存在明显异质性。这一类研究的启发在于，异质性检验不能只是补充性分析，而应当是理解制度作用范围的重要部分。</w:t>
      </w:r>
    </w:p>
    <w:p>
      <w:pPr>
        <w:pStyle w:val="BodyText"/>
      </w:pPr>
      <w:r>
        <w:rPr>
          <w:rFonts w:hint="eastAsia"/>
        </w:rPr>
        <w:t xml:space="preserve">进一步看，关于做市商竞争与能力的研究</w:t>
      </w:r>
      <w:r>
        <w:t xml:space="preserve"> [*] </w:t>
      </w:r>
      <w:r>
        <w:rPr>
          <w:rFonts w:hint="eastAsia"/>
        </w:rPr>
        <w:t xml:space="preserve">还表明，即使在做市制度已经建立的市场中，不同做市商之间的研究能力、经验和资本实力也会影响制度效果。这说明边界条件不只来自股票端，也来自做市商端。不过，受限于数据可得性，现有</w:t>
      </w:r>
      <w:r>
        <w:t xml:space="preserve"> A </w:t>
      </w:r>
      <w:r>
        <w:rPr>
          <w:rFonts w:hint="eastAsia"/>
        </w:rPr>
        <w:t xml:space="preserve">股市场研究对做市商能力差异的展开仍较有限，更多停留在“是否有做市”或“做市后是否改善流动性”的平均效应层面。对本文而言，在难以充分观察做市商能力差异的情况下，更稳妥的做法是在公司层面选择那些更容易识别的异质性维度，例如市值和信息透明度。</w:t>
      </w:r>
    </w:p>
    <w:bookmarkEnd w:id="11"/>
    <w:bookmarkStart w:id="12" w:name="四现有研究的不足"/>
    <w:p>
      <w:pPr>
        <w:pStyle w:val="4"/>
      </w:pPr>
      <w:r>
        <w:rPr>
          <w:rFonts w:hint="eastAsia"/>
        </w:rPr>
        <w:t xml:space="preserve">（四）现有研究的不足</w:t>
      </w:r>
    </w:p>
    <w:p>
      <w:pPr>
        <w:pStyle w:val="FirstParagraph"/>
      </w:pPr>
      <w:r>
        <w:rPr>
          <w:rFonts w:hint="eastAsia"/>
        </w:rPr>
        <w:t xml:space="preserve">综合来看，现有文献已经从多个角度说明，做市商制度可能改善市场质量，但仍存在几方面不足。</w:t>
      </w:r>
    </w:p>
    <w:p>
      <w:pPr>
        <w:pStyle w:val="BodyText"/>
      </w:pPr>
      <w:r>
        <w:rPr>
          <w:rFonts w:hint="eastAsia"/>
        </w:rPr>
        <w:t xml:space="preserve">第一，直接讨论“科创板做市商制度对定价效率影响”的研究仍然偏少。现有证据更多集中在流动性层面，而不是直接集中在定价效率层面。就目前来看，一级证据主要仍集中在</w:t>
      </w:r>
      <w:r>
        <w:t xml:space="preserve"> Li et al. (2025) </w:t>
      </w:r>
      <w:r>
        <w:rPr>
          <w:rFonts w:hint="eastAsia"/>
        </w:rPr>
        <w:t xml:space="preserve">[*]，相关研究的文献厚度还不够。而且即便在现有直接证据中，也更多呈现为“短期指标更明显、长期指标较弱”或“部分口径显著、部分口径不显著”的特征，这意味着该领域本身就还没有形成非常统一、非常强的经验结论。</w:t>
      </w:r>
    </w:p>
    <w:p>
      <w:pPr>
        <w:pStyle w:val="BodyText"/>
      </w:pPr>
      <w:r>
        <w:rPr>
          <w:rFonts w:hint="eastAsia"/>
        </w:rPr>
        <w:t xml:space="preserve">第二，虽然不少研究提出了流动性、信息不对称和波动率等机制，但很多实证检验仍更接近“渠道相关性识别”，对机制变量与定价效率之间的因果链条缺乏更完整的闭环</w:t>
      </w:r>
      <w:r>
        <w:t xml:space="preserve"> </w:t>
      </w:r>
      <w:r>
        <w:rPr>
          <w:rFonts w:hint="eastAsia"/>
        </w:rPr>
        <w:t xml:space="preserve">[*]。尤其是“做市商作为额外信息生产者”的证据在现有研究中相对薄弱，而“降低交易成本”“平滑噪声波动”的证据通常更强。这意味着，现有研究能够说明制度可能“通过什么起作用”，但还没有完全回答“机制到底有多强、是不是足以支撑最终结论”。</w:t>
      </w:r>
    </w:p>
    <w:p>
      <w:pPr>
        <w:pStyle w:val="BodyText"/>
      </w:pPr>
      <w:r>
        <w:rPr>
          <w:rFonts w:hint="eastAsia"/>
        </w:rPr>
        <w:t xml:space="preserve">第三，已有异质性研究虽然涉及市场状态、股票规模和流动性基础，但专门围绕科技企业“高不确定性、高信息摩擦”特征展开的证据仍然不足。尤其是信息透明度这一维度，在现有研究中讨论还比较弱</w:t>
      </w:r>
      <w:r>
        <w:t xml:space="preserve"> </w:t>
      </w:r>
      <w:r>
        <w:rPr>
          <w:rFonts w:hint="eastAsia"/>
        </w:rPr>
        <w:t xml:space="preserve">[*]。与此同时，已有研究反复提示制度效果可能随公司规模、流动性基础、做市商供给强弱和市场状态而变化，这意味着全样本平均效应未必总是显著、稳定和同方向的。因此，“做市商制度是否、如何、在何种条件下提升科技企业定价效率”这一问题，仍然没有被充分回答。</w:t>
      </w:r>
    </w:p>
    <w:bookmarkEnd w:id="12"/>
    <w:bookmarkStart w:id="13" w:name="五本文定位"/>
    <w:p>
      <w:pPr>
        <w:pStyle w:val="4"/>
      </w:pPr>
      <w:r>
        <w:rPr>
          <w:rFonts w:hint="eastAsia"/>
        </w:rPr>
        <w:t xml:space="preserve">（五）本文定位</w:t>
      </w:r>
    </w:p>
    <w:p>
      <w:pPr>
        <w:pStyle w:val="FirstParagraph"/>
      </w:pPr>
      <w:r>
        <w:rPr>
          <w:rFonts w:hint="eastAsia"/>
        </w:rPr>
        <w:t xml:space="preserve">基于上述文献脉络，本文将科创板作为核心研究场景，把</w:t>
      </w:r>
      <w:r>
        <w:t xml:space="preserve"> 2022 </w:t>
      </w:r>
      <w:r>
        <w:rPr>
          <w:rFonts w:hint="eastAsia"/>
        </w:rPr>
        <w:t xml:space="preserve">年</w:t>
      </w:r>
      <w:r>
        <w:t xml:space="preserve"> 10 </w:t>
      </w:r>
      <w:r>
        <w:rPr>
          <w:rFonts w:hint="eastAsia"/>
        </w:rPr>
        <w:t xml:space="preserve">月</w:t>
      </w:r>
      <w:r>
        <w:t xml:space="preserve"> 31 </w:t>
      </w:r>
      <w:r>
        <w:rPr>
          <w:rFonts w:hint="eastAsia"/>
        </w:rPr>
        <w:t xml:space="preserve">日做市商制度落地视为关键制度冲击，在公司层面的多期面板数据上采用</w:t>
      </w:r>
      <w:r>
        <w:t xml:space="preserve"> DID </w:t>
      </w:r>
      <w:r>
        <w:rPr>
          <w:rFonts w:hint="eastAsia"/>
        </w:rPr>
        <w:t xml:space="preserve">和事件研究方法，直接检验做市商制度对科技企业定价效率的影响。</w:t>
      </w:r>
    </w:p>
    <w:p>
      <w:pPr>
        <w:pStyle w:val="BodyText"/>
      </w:pPr>
      <w:r>
        <w:rPr>
          <w:rFonts w:hint="eastAsia"/>
        </w:rPr>
        <w:t xml:space="preserve">与已有研究相比，本文的推进主要体现在三个方面。第一，将关注重点从“流动性是否改善”前移到“定价效率是否提升”，以价格延迟、股价同步性等指标更直接地刻画价格发现过程。第二，将流动性、信息不对称和波动率纳入统一机制分析框架，用来判断做市商的作用究竟更多来自交易摩擦下降，还是来自信息环境改善。第三，结合科技企业的特征，重点考察市值和信息透明度两个异质性维度，以回应现有文献对边界条件识别不足的问题。</w:t>
      </w:r>
    </w:p>
    <w:p>
      <w:pPr>
        <w:pStyle w:val="BodyText"/>
      </w:pPr>
      <w:r>
        <w:rPr>
          <w:rFonts w:hint="eastAsia"/>
        </w:rPr>
        <w:t xml:space="preserve">因此，本文并不是简单重复证明做市商“是否有用”，而是试图在科创板这一更贴近科技企业估值问题的制度场景下，识别做市商制度对定价效率是否存在分维度、分条件的改善作用，并进一步说明这种作用更可能体现在哪些指标、通过哪些渠道产生、在什么类型的企业中更容易出现。</w:t>
      </w:r>
    </w:p>
    <w:bookmarkEnd w:id="13"/>
    <w:bookmarkEnd w:id="14"/>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黑">
    <w:altName w:val="黑体"/>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3336C"/>
    <w:rsid w:val="3113336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ind w:firstLine="883" w:firstLineChars="200"/>
      <w:jc w:val="both"/>
    </w:pPr>
    <w:rPr>
      <w:rFonts w:ascii="Times New Roman" w:cstheme="minorBidi" w:eastAsia="宋体" w:hAnsi="Times New Roman"/>
      <w:kern w:val="2"/>
      <w:sz w:val="24"/>
      <w:szCs w:val="24"/>
      <w:lang w:bidi="ar-SA" w:eastAsia="zh-CN" w:val="en-US"/>
    </w:rPr>
  </w:style>
  <w:style w:styleId="2" w:type="paragraph">
    <w:name w:val="heading 1"/>
    <w:basedOn w:val="1"/>
    <w:next w:val="1"/>
    <w:qFormat/>
    <w:uiPriority w:val="0"/>
    <w:pPr>
      <w:keepNext/>
      <w:keepLines/>
      <w:spacing w:after="330" w:afterAutospacing="0" w:afterLines="0" w:before="340" w:beforeAutospacing="0" w:beforeLines="0" w:line="360" w:lineRule="auto"/>
      <w:outlineLvl w:val="0"/>
    </w:pPr>
    <w:rPr>
      <w:rFonts w:asciiTheme="minorAscii" w:hAnsiTheme="minorAscii"/>
      <w:b/>
      <w:kern w:val="44"/>
      <w:sz w:val="44"/>
    </w:rPr>
  </w:style>
  <w:style w:styleId="3" w:type="paragraph">
    <w:name w:val="heading 2"/>
    <w:basedOn w:val="1"/>
    <w:next w:val="1"/>
    <w:semiHidden/>
    <w:unhideWhenUsed/>
    <w:qFormat/>
    <w:uiPriority w:val="0"/>
    <w:pPr>
      <w:keepNext/>
      <w:keepLines/>
      <w:spacing w:after="260" w:afterAutospacing="0" w:afterLines="0" w:before="260" w:beforeAutospacing="0" w:beforeLines="0" w:line="360" w:lineRule="auto"/>
      <w:ind w:firstLine="883" w:firstLineChars="200"/>
      <w:outlineLvl w:val="1"/>
    </w:pPr>
    <w:rPr>
      <w:rFonts w:ascii="Arial" w:eastAsia="宋体" w:hAnsi="Arial"/>
      <w:b/>
      <w:sz w:val="28"/>
    </w:rPr>
  </w:style>
  <w:style w:styleId="4" w:type="paragraph">
    <w:name w:val="heading 3"/>
    <w:basedOn w:val="1"/>
    <w:next w:val="1"/>
    <w:semiHidden/>
    <w:unhideWhenUsed/>
    <w:qFormat/>
    <w:uiPriority w:val="0"/>
    <w:pPr>
      <w:keepNext/>
      <w:keepLines/>
      <w:spacing w:after="260" w:afterAutospacing="0" w:afterLines="0" w:before="260" w:beforeAutospacing="0" w:beforeLines="0" w:line="360" w:lineRule="auto"/>
      <w:ind w:firstLine="1325" w:firstLineChars="300"/>
      <w:outlineLvl w:val="2"/>
    </w:pPr>
    <w:rPr>
      <w:rFonts w:asciiTheme="minorAscii" w:eastAsia="宋体" w:hAnsiTheme="minorAscii"/>
      <w:b/>
      <w:sz w:val="24"/>
    </w:rPr>
  </w:style>
  <w:style w:styleId="5" w:type="paragraph">
    <w:name w:val="heading 4"/>
    <w:basedOn w:val="1"/>
    <w:next w:val="1"/>
    <w:semiHidden/>
    <w:unhideWhenUsed/>
    <w:qFormat/>
    <w:uiPriority w:val="0"/>
    <w:pPr>
      <w:keepNext/>
      <w:keepLines/>
      <w:spacing w:after="290" w:afterAutospacing="0" w:afterLines="0" w:before="280" w:beforeAutospacing="0" w:beforeLines="0" w:line="360" w:lineRule="auto"/>
      <w:ind w:firstLine="1325" w:firstLineChars="300"/>
      <w:outlineLvl w:val="3"/>
    </w:pPr>
    <w:rPr>
      <w:rFonts w:ascii="Arial" w:eastAsia="宋体" w:hAnsi="Arial"/>
      <w:b/>
      <w:sz w:val="24"/>
    </w:rPr>
  </w:style>
  <w:style w:default="1" w:styleId="7" w:type="character">
    <w:name w:val="Default Paragraph Font"/>
    <w:semiHidden/>
    <w:uiPriority w:val="0"/>
  </w:style>
  <w:style w:default="1" w:styleId="6" w:type="table">
    <w:name w:val="Normal Table"/>
    <w:semiHidden/>
    <w:qFormat/>
    <w:uiPriority w:val="0"/>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2026-04-16T15:36:07Z</dcterms:created>
  <dcterms:modified xsi:type="dcterms:W3CDTF">2026-04-16T15:36:07Z</dcterms:modified>
</cp:coreProperties>
</file>

<file path=docProps/custom.xml><?xml version="1.0" encoding="utf-8"?>
<Properties xmlns="http://schemas.openxmlformats.org/officeDocument/2006/custom-properties" xmlns:vt="http://schemas.openxmlformats.org/officeDocument/2006/docPropsVTypes"/>
</file>