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56202" w14:textId="77777777" w:rsidR="00311003" w:rsidRDefault="00311003">
      <w:pPr>
        <w:pStyle w:val="BodyText"/>
        <w:spacing w:before="10"/>
        <w:rPr>
          <w:rFonts w:ascii="Times New Roman"/>
          <w:sz w:val="11"/>
        </w:rPr>
      </w:pPr>
    </w:p>
    <w:p w14:paraId="149D8FDD" w14:textId="77777777" w:rsidR="00311003" w:rsidRDefault="00000000">
      <w:pPr>
        <w:pStyle w:val="BodyText"/>
        <w:spacing w:before="94" w:line="280" w:lineRule="auto"/>
        <w:ind w:left="169" w:right="195" w:hanging="10"/>
        <w:jc w:val="both"/>
      </w:pPr>
      <w:r>
        <w:t>Internal Audit has assessed the control condition of key controls related to oversight and supervision activities of</w:t>
      </w:r>
      <w:r>
        <w:rPr>
          <w:spacing w:val="1"/>
        </w:rPr>
        <w:t xml:space="preserve"> </w:t>
      </w:r>
      <w:r>
        <w:t>Outside Business Activities (OBAs) and Private Securities Transactions (PSTs) within ABC Company Annuities</w:t>
      </w:r>
      <w:r>
        <w:rPr>
          <w:spacing w:val="1"/>
        </w:rPr>
        <w:t xml:space="preserve"> </w:t>
      </w:r>
      <w:r>
        <w:t xml:space="preserve">Distributors (PAD) for the period January 1, </w:t>
      </w:r>
      <w:proofErr w:type="gramStart"/>
      <w:r>
        <w:t>2023</w:t>
      </w:r>
      <w:proofErr w:type="gramEnd"/>
      <w:r>
        <w:t xml:space="preserve"> to December 31, 2023. A control condition audit is designed to</w:t>
      </w:r>
      <w:r>
        <w:rPr>
          <w:spacing w:val="1"/>
        </w:rPr>
        <w:t xml:space="preserve"> </w:t>
      </w:r>
      <w:r>
        <w:t>provide reasonable assurance as to the design and effectiveness of the system of internal controls implemented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management.</w:t>
      </w:r>
    </w:p>
    <w:p w14:paraId="7BA4E068" w14:textId="77777777" w:rsidR="00311003" w:rsidRDefault="00000000">
      <w:pPr>
        <w:pStyle w:val="BodyText"/>
        <w:spacing w:before="35"/>
        <w:ind w:left="170" w:right="197" w:hanging="10"/>
        <w:jc w:val="both"/>
      </w:pPr>
      <w:r>
        <w:t>Internal Audit's testing resulted in the identification of 1 medium risk issue, the summary of which is presented</w:t>
      </w:r>
      <w:r>
        <w:rPr>
          <w:spacing w:val="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identified,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management's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attached</w:t>
      </w:r>
      <w:r>
        <w:rPr>
          <w:spacing w:val="-3"/>
        </w:rPr>
        <w:t xml:space="preserve"> </w:t>
      </w:r>
      <w:r>
        <w:t>PDF.</w:t>
      </w:r>
    </w:p>
    <w:p w14:paraId="7F41EEC9" w14:textId="77777777" w:rsidR="00311003" w:rsidRDefault="00311003">
      <w:pPr>
        <w:pStyle w:val="BodyText"/>
        <w:spacing w:before="11"/>
        <w:rPr>
          <w:sz w:val="19"/>
        </w:rPr>
      </w:pPr>
    </w:p>
    <w:tbl>
      <w:tblPr>
        <w:tblW w:w="0" w:type="auto"/>
        <w:tblInd w:w="175" w:type="dxa"/>
        <w:tblBorders>
          <w:top w:val="single" w:sz="4" w:space="0" w:color="5A9BD5"/>
          <w:left w:val="single" w:sz="4" w:space="0" w:color="5A9BD5"/>
          <w:bottom w:val="single" w:sz="4" w:space="0" w:color="5A9BD5"/>
          <w:right w:val="single" w:sz="4" w:space="0" w:color="5A9BD5"/>
          <w:insideH w:val="single" w:sz="4" w:space="0" w:color="5A9BD5"/>
          <w:insideV w:val="single" w:sz="4" w:space="0" w:color="5A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4500"/>
        <w:gridCol w:w="990"/>
        <w:gridCol w:w="1260"/>
        <w:gridCol w:w="1530"/>
      </w:tblGrid>
      <w:tr w:rsidR="00311003" w14:paraId="1CDC4986" w14:textId="77777777">
        <w:trPr>
          <w:trHeight w:val="531"/>
        </w:trPr>
        <w:tc>
          <w:tcPr>
            <w:tcW w:w="900" w:type="dxa"/>
            <w:tcBorders>
              <w:bottom w:val="single" w:sz="4" w:space="0" w:color="4371C4"/>
              <w:right w:val="nil"/>
            </w:tcBorders>
            <w:shd w:val="clear" w:color="auto" w:fill="78ADDD"/>
          </w:tcPr>
          <w:p w14:paraId="1F72A2B6" w14:textId="77777777" w:rsidR="00311003" w:rsidRDefault="00000000">
            <w:pPr>
              <w:pStyle w:val="TableParagraph"/>
              <w:spacing w:before="36"/>
              <w:ind w:left="138" w:right="114" w:firstLine="5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Issue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Rating</w:t>
            </w:r>
          </w:p>
        </w:tc>
        <w:tc>
          <w:tcPr>
            <w:tcW w:w="900" w:type="dxa"/>
            <w:tcBorders>
              <w:left w:val="nil"/>
              <w:bottom w:val="single" w:sz="4" w:space="0" w:color="4371C4"/>
              <w:right w:val="nil"/>
            </w:tcBorders>
            <w:shd w:val="clear" w:color="auto" w:fill="78ADDD"/>
          </w:tcPr>
          <w:p w14:paraId="0BD8E62E" w14:textId="77777777" w:rsidR="00311003" w:rsidRDefault="00000000">
            <w:pPr>
              <w:pStyle w:val="TableParagraph"/>
              <w:spacing w:before="36"/>
              <w:ind w:left="180" w:right="91" w:hanging="5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Repeat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Issue</w:t>
            </w:r>
          </w:p>
        </w:tc>
        <w:tc>
          <w:tcPr>
            <w:tcW w:w="4500" w:type="dxa"/>
            <w:tcBorders>
              <w:left w:val="nil"/>
              <w:bottom w:val="single" w:sz="4" w:space="0" w:color="4371C4"/>
              <w:right w:val="nil"/>
            </w:tcBorders>
            <w:shd w:val="clear" w:color="auto" w:fill="78ADDD"/>
          </w:tcPr>
          <w:p w14:paraId="1B031FD2" w14:textId="77777777" w:rsidR="00311003" w:rsidRDefault="00000000">
            <w:pPr>
              <w:pStyle w:val="TableParagraph"/>
              <w:spacing w:before="150"/>
              <w:ind w:left="149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Issue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Summary</w:t>
            </w:r>
          </w:p>
        </w:tc>
        <w:tc>
          <w:tcPr>
            <w:tcW w:w="990" w:type="dxa"/>
            <w:tcBorders>
              <w:left w:val="nil"/>
              <w:bottom w:val="single" w:sz="4" w:space="0" w:color="4371C4"/>
              <w:right w:val="nil"/>
            </w:tcBorders>
            <w:shd w:val="clear" w:color="auto" w:fill="78ADDD"/>
          </w:tcPr>
          <w:p w14:paraId="61E87C1A" w14:textId="77777777" w:rsidR="00311003" w:rsidRDefault="00000000">
            <w:pPr>
              <w:pStyle w:val="TableParagraph"/>
              <w:spacing w:before="36"/>
              <w:ind w:left="188" w:right="159" w:firstLine="3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Issue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Owner</w:t>
            </w:r>
          </w:p>
        </w:tc>
        <w:tc>
          <w:tcPr>
            <w:tcW w:w="1260" w:type="dxa"/>
            <w:tcBorders>
              <w:left w:val="nil"/>
              <w:bottom w:val="single" w:sz="4" w:space="0" w:color="4371C4"/>
              <w:right w:val="nil"/>
            </w:tcBorders>
            <w:shd w:val="clear" w:color="auto" w:fill="78ADDD"/>
          </w:tcPr>
          <w:p w14:paraId="2EEDCFDB" w14:textId="77777777" w:rsidR="00311003" w:rsidRDefault="00000000">
            <w:pPr>
              <w:pStyle w:val="TableParagraph"/>
              <w:spacing w:before="150"/>
              <w:ind w:left="2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30" w:type="dxa"/>
            <w:tcBorders>
              <w:left w:val="nil"/>
              <w:bottom w:val="single" w:sz="4" w:space="0" w:color="4371C4"/>
            </w:tcBorders>
            <w:shd w:val="clear" w:color="auto" w:fill="78ADDD"/>
          </w:tcPr>
          <w:p w14:paraId="744BD94D" w14:textId="77777777" w:rsidR="00311003" w:rsidRDefault="00000000">
            <w:pPr>
              <w:pStyle w:val="TableParagraph"/>
              <w:spacing w:before="150"/>
              <w:ind w:left="36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Issue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</w:tr>
      <w:tr w:rsidR="00311003" w14:paraId="51855BB8" w14:textId="77777777">
        <w:trPr>
          <w:trHeight w:val="2517"/>
        </w:trPr>
        <w:tc>
          <w:tcPr>
            <w:tcW w:w="90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49FD588B" w14:textId="77777777" w:rsidR="00311003" w:rsidRDefault="00000000">
            <w:pPr>
              <w:pStyle w:val="TableParagraph"/>
              <w:spacing w:before="120"/>
              <w:ind w:left="107" w:right="-188"/>
              <w:jc w:val="lef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Medium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  <w:tc>
          <w:tcPr>
            <w:tcW w:w="90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173AB58C" w14:textId="77777777" w:rsidR="00311003" w:rsidRDefault="00000000">
            <w:pPr>
              <w:pStyle w:val="TableParagraph"/>
              <w:spacing w:before="120"/>
              <w:ind w:left="218" w:right="-13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Governan</w:t>
            </w:r>
            <w:proofErr w:type="spellEnd"/>
          </w:p>
        </w:tc>
        <w:tc>
          <w:tcPr>
            <w:tcW w:w="450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425388A9" w14:textId="77777777" w:rsidR="00311003" w:rsidRDefault="00000000">
            <w:pPr>
              <w:pStyle w:val="TableParagraph"/>
              <w:spacing w:before="120" w:line="244" w:lineRule="auto"/>
              <w:ind w:left="110" w:right="78" w:hanging="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ce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supervision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Annuities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Distributors,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(PAD)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</w:p>
          <w:p w14:paraId="19AE9C34" w14:textId="77777777" w:rsidR="00311003" w:rsidRDefault="00000000">
            <w:pPr>
              <w:pStyle w:val="TableParagraph"/>
              <w:ind w:left="110" w:right="78"/>
              <w:jc w:val="left"/>
              <w:rPr>
                <w:sz w:val="18"/>
              </w:rPr>
            </w:pPr>
            <w:r>
              <w:rPr>
                <w:sz w:val="18"/>
              </w:rPr>
              <w:t>Business Activities (OBAs) and personal investments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private securities transactions (e.g., passive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investments) needs improvement.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root causes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are primarily attributable to the overreliance of </w:t>
            </w:r>
            <w:proofErr w:type="spellStart"/>
            <w:r>
              <w:rPr>
                <w:sz w:val="18"/>
              </w:rPr>
              <w:t>selfdis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closure by RRs and a lack of consideration to use ad-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ditional</w:t>
            </w:r>
            <w:proofErr w:type="spellEnd"/>
            <w:r>
              <w:rPr>
                <w:sz w:val="18"/>
              </w:rPr>
              <w:t xml:space="preserve"> outside data to detect discrepancies in </w:t>
            </w:r>
            <w:proofErr w:type="spellStart"/>
            <w:r>
              <w:rPr>
                <w:sz w:val="18"/>
              </w:rPr>
              <w:t>ongo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ing</w:t>
            </w:r>
            <w:proofErr w:type="spellEnd"/>
            <w:r>
              <w:rPr>
                <w:sz w:val="18"/>
              </w:rPr>
              <w:t xml:space="preserve"> OBA recertifications as well as a lack of firmwide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protocols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changes to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consider</w:t>
            </w:r>
            <w:proofErr w:type="gramEnd"/>
          </w:p>
          <w:p w14:paraId="5AAB4471" w14:textId="77777777" w:rsidR="00311003" w:rsidRDefault="00000000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regulatory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impacts.</w:t>
            </w:r>
          </w:p>
        </w:tc>
        <w:tc>
          <w:tcPr>
            <w:tcW w:w="99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776D7CD0" w14:textId="77777777" w:rsidR="00311003" w:rsidRDefault="00000000">
            <w:pPr>
              <w:pStyle w:val="TableParagraph"/>
              <w:spacing w:before="119"/>
              <w:ind w:left="110" w:right="148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Christina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Hartnett</w:t>
            </w:r>
          </w:p>
        </w:tc>
        <w:tc>
          <w:tcPr>
            <w:tcW w:w="126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3E5A28A1" w14:textId="77777777" w:rsidR="00311003" w:rsidRDefault="00000000">
            <w:pPr>
              <w:pStyle w:val="TableParagraph"/>
              <w:spacing w:before="120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10/1/2024</w:t>
            </w:r>
          </w:p>
        </w:tc>
        <w:tc>
          <w:tcPr>
            <w:tcW w:w="1530" w:type="dxa"/>
            <w:tcBorders>
              <w:top w:val="single" w:sz="4" w:space="0" w:color="4371C4"/>
              <w:left w:val="single" w:sz="4" w:space="0" w:color="4371C4"/>
              <w:bottom w:val="single" w:sz="4" w:space="0" w:color="4371C4"/>
              <w:right w:val="single" w:sz="4" w:space="0" w:color="4371C4"/>
            </w:tcBorders>
          </w:tcPr>
          <w:p w14:paraId="23D58613" w14:textId="77777777" w:rsidR="00311003" w:rsidRDefault="00000000">
            <w:pPr>
              <w:pStyle w:val="TableParagraph"/>
              <w:spacing w:before="120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IS-001585</w:t>
            </w:r>
          </w:p>
        </w:tc>
      </w:tr>
    </w:tbl>
    <w:p w14:paraId="041C935D" w14:textId="77777777" w:rsidR="00311003" w:rsidRDefault="00311003">
      <w:pPr>
        <w:pStyle w:val="BodyText"/>
      </w:pPr>
    </w:p>
    <w:p w14:paraId="574E1161" w14:textId="77777777" w:rsidR="00311003" w:rsidRDefault="00000000">
      <w:pPr>
        <w:ind w:left="160"/>
        <w:jc w:val="both"/>
        <w:rPr>
          <w:sz w:val="20"/>
        </w:rPr>
      </w:pPr>
      <w:r>
        <w:rPr>
          <w:rFonts w:ascii="Arial"/>
          <w:b/>
          <w:color w:val="1E487C"/>
          <w:sz w:val="20"/>
        </w:rPr>
        <w:t>Control</w:t>
      </w:r>
      <w:r>
        <w:rPr>
          <w:rFonts w:ascii="Arial"/>
          <w:b/>
          <w:color w:val="1E487C"/>
          <w:spacing w:val="-2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 xml:space="preserve">Condition:        </w:t>
      </w:r>
      <w:r>
        <w:rPr>
          <w:rFonts w:ascii="Arial"/>
          <w:b/>
          <w:color w:val="1E487C"/>
          <w:spacing w:val="19"/>
          <w:sz w:val="20"/>
        </w:rPr>
        <w:t xml:space="preserve"> </w:t>
      </w:r>
      <w:r>
        <w:rPr>
          <w:sz w:val="20"/>
        </w:rPr>
        <w:t>Partially</w:t>
      </w:r>
      <w:r>
        <w:rPr>
          <w:spacing w:val="-2"/>
          <w:sz w:val="20"/>
        </w:rPr>
        <w:t xml:space="preserve"> </w:t>
      </w:r>
      <w:r>
        <w:rPr>
          <w:sz w:val="20"/>
        </w:rPr>
        <w:t>Satisfactory</w:t>
      </w:r>
    </w:p>
    <w:p w14:paraId="68FD91B9" w14:textId="77777777" w:rsidR="00311003" w:rsidRDefault="00000000">
      <w:pPr>
        <w:ind w:left="160"/>
        <w:jc w:val="both"/>
        <w:rPr>
          <w:sz w:val="20"/>
        </w:rPr>
      </w:pPr>
      <w:r>
        <w:rPr>
          <w:rFonts w:ascii="Arial"/>
          <w:b/>
          <w:color w:val="1E487C"/>
          <w:sz w:val="20"/>
        </w:rPr>
        <w:t>Control</w:t>
      </w:r>
      <w:r>
        <w:rPr>
          <w:rFonts w:ascii="Arial"/>
          <w:b/>
          <w:color w:val="1E487C"/>
          <w:spacing w:val="-4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 xml:space="preserve">Environment:   </w:t>
      </w:r>
      <w:r>
        <w:rPr>
          <w:rFonts w:ascii="Arial"/>
          <w:b/>
          <w:color w:val="1E487C"/>
          <w:spacing w:val="5"/>
          <w:sz w:val="20"/>
        </w:rPr>
        <w:t xml:space="preserve"> </w:t>
      </w:r>
      <w:r>
        <w:rPr>
          <w:sz w:val="20"/>
        </w:rPr>
        <w:t>Unrated</w:t>
      </w:r>
    </w:p>
    <w:p w14:paraId="62CC5E17" w14:textId="77777777" w:rsidR="00311003" w:rsidRDefault="00311003">
      <w:pPr>
        <w:pStyle w:val="BodyText"/>
      </w:pPr>
    </w:p>
    <w:p w14:paraId="55428A2C" w14:textId="77777777" w:rsidR="00311003" w:rsidRDefault="00000000">
      <w:pPr>
        <w:pStyle w:val="BodyText"/>
        <w:ind w:left="170" w:right="197" w:hanging="10"/>
        <w:jc w:val="both"/>
      </w:pPr>
      <w:r>
        <w:rPr>
          <w:rFonts w:ascii="Arial"/>
          <w:b/>
          <w:color w:val="1E487C"/>
        </w:rPr>
        <w:t>Rating</w:t>
      </w:r>
      <w:r>
        <w:rPr>
          <w:rFonts w:ascii="Arial"/>
          <w:b/>
          <w:color w:val="1E487C"/>
          <w:spacing w:val="-10"/>
        </w:rPr>
        <w:t xml:space="preserve"> </w:t>
      </w:r>
      <w:r>
        <w:rPr>
          <w:rFonts w:ascii="Arial"/>
          <w:b/>
          <w:color w:val="1E487C"/>
        </w:rPr>
        <w:t>Rationale:</w:t>
      </w:r>
      <w:r>
        <w:rPr>
          <w:rFonts w:ascii="Arial"/>
          <w:b/>
          <w:color w:val="1E487C"/>
          <w:spacing w:val="3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performed,</w:t>
      </w:r>
      <w:r>
        <w:rPr>
          <w:spacing w:val="-9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Audit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concluded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elements</w:t>
      </w:r>
      <w:r>
        <w:rPr>
          <w:spacing w:val="-53"/>
        </w:rPr>
        <w:t xml:space="preserve"> </w:t>
      </w:r>
      <w:r>
        <w:t>of the system of internal controls implemented by management need improvement to further mitigate key risks of</w:t>
      </w:r>
      <w:r>
        <w:rPr>
          <w:spacing w:val="-5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highlights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strengthen</w:t>
      </w:r>
      <w:r>
        <w:rPr>
          <w:spacing w:val="-11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governance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oversight</w:t>
      </w:r>
      <w:r>
        <w:rPr>
          <w:spacing w:val="-53"/>
        </w:rPr>
        <w:t xml:space="preserve"> </w:t>
      </w:r>
      <w:r>
        <w:t>of OBA and PST processes (e.g., classification and treatment of OBA and PST, independent validation) as well</w:t>
      </w:r>
      <w:r>
        <w:rPr>
          <w:spacing w:val="1"/>
        </w:rPr>
        <w:t xml:space="preserve"> </w:t>
      </w:r>
      <w:r>
        <w:t>as maintain readily accessible books and records. The current system of key controls in place consists of</w:t>
      </w:r>
      <w:r>
        <w:rPr>
          <w:spacing w:val="1"/>
        </w:rPr>
        <w:t xml:space="preserve"> </w:t>
      </w:r>
      <w:r>
        <w:t>supervisory</w:t>
      </w:r>
      <w:r>
        <w:rPr>
          <w:spacing w:val="-11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relying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self-disclosure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annual</w:t>
      </w:r>
      <w:r>
        <w:rPr>
          <w:spacing w:val="-10"/>
        </w:rPr>
        <w:t xml:space="preserve"> </w:t>
      </w:r>
      <w:r>
        <w:t>attestations.</w:t>
      </w:r>
      <w:r>
        <w:rPr>
          <w:spacing w:val="-11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issue</w:t>
      </w:r>
      <w:r>
        <w:rPr>
          <w:spacing w:val="-53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mitigate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risks.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Registered</w:t>
      </w:r>
      <w:r>
        <w:rPr>
          <w:spacing w:val="-9"/>
        </w:rPr>
        <w:t xml:space="preserve"> </w:t>
      </w:r>
      <w:r>
        <w:t>Representatives</w:t>
      </w:r>
      <w:r>
        <w:rPr>
          <w:spacing w:val="-9"/>
        </w:rPr>
        <w:t xml:space="preserve"> </w:t>
      </w:r>
      <w:r>
        <w:t>(RRs)</w:t>
      </w:r>
      <w:r>
        <w:rPr>
          <w:spacing w:val="-5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PAD</w:t>
      </w:r>
      <w:r>
        <w:rPr>
          <w:spacing w:val="-5"/>
        </w:rPr>
        <w:t xml:space="preserve"> </w:t>
      </w:r>
      <w:r>
        <w:t>engage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thereby</w:t>
      </w:r>
      <w:r>
        <w:rPr>
          <w:spacing w:val="-6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conflict.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Satisfactory.</w:t>
      </w:r>
    </w:p>
    <w:p w14:paraId="74BB9073" w14:textId="77777777" w:rsidR="00311003" w:rsidRDefault="00311003">
      <w:pPr>
        <w:pStyle w:val="BodyText"/>
      </w:pPr>
    </w:p>
    <w:p w14:paraId="5AA17D24" w14:textId="77777777" w:rsidR="00311003" w:rsidRDefault="00000000">
      <w:pPr>
        <w:pStyle w:val="BodyText"/>
        <w:ind w:left="170" w:right="197" w:hanging="10"/>
        <w:jc w:val="both"/>
      </w:pPr>
      <w:r>
        <w:rPr>
          <w:rFonts w:ascii="Arial"/>
          <w:b/>
          <w:color w:val="1E487C"/>
        </w:rPr>
        <w:t>Scope:</w:t>
      </w:r>
      <w:r>
        <w:rPr>
          <w:rFonts w:ascii="Arial"/>
          <w:b/>
          <w:color w:val="1E487C"/>
          <w:spacing w:val="-4"/>
        </w:rPr>
        <w:t xml:space="preserve"> </w:t>
      </w:r>
      <w:r>
        <w:t>PAD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supervisory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record,</w:t>
      </w:r>
      <w:r>
        <w:rPr>
          <w:spacing w:val="-4"/>
        </w:rPr>
        <w:t xml:space="preserve"> </w:t>
      </w:r>
      <w:r>
        <w:t>review,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OBAs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53"/>
        </w:rPr>
        <w:t xml:space="preserve"> </w:t>
      </w:r>
      <w:r>
        <w:t>RRs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broker</w:t>
      </w:r>
      <w:r>
        <w:rPr>
          <w:spacing w:val="1"/>
        </w:rPr>
        <w:t xml:space="preserve"> </w:t>
      </w:r>
      <w:r>
        <w:t>dealer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requirements. The scope included an assessment of the design and effectiveness of the key controls related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OBAs and</w:t>
      </w:r>
      <w:r>
        <w:rPr>
          <w:spacing w:val="-2"/>
        </w:rPr>
        <w:t xml:space="preserve"> </w:t>
      </w:r>
      <w:r>
        <w:t>PSTs.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including:</w:t>
      </w:r>
    </w:p>
    <w:p w14:paraId="004AC78B" w14:textId="77777777" w:rsidR="00311003" w:rsidRDefault="00311003">
      <w:pPr>
        <w:pStyle w:val="BodyText"/>
      </w:pPr>
    </w:p>
    <w:p w14:paraId="4FD5BD77" w14:textId="77777777" w:rsidR="00311003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44" w:lineRule="exact"/>
        <w:ind w:hanging="362"/>
        <w:rPr>
          <w:sz w:val="20"/>
        </w:rPr>
      </w:pP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Ineffective</w:t>
      </w:r>
      <w:r>
        <w:rPr>
          <w:spacing w:val="-3"/>
          <w:sz w:val="20"/>
        </w:rPr>
        <w:t xml:space="preserve"> </w:t>
      </w:r>
      <w:r>
        <w:rPr>
          <w:sz w:val="20"/>
        </w:rPr>
        <w:t>Supervision</w:t>
      </w:r>
    </w:p>
    <w:p w14:paraId="55D2713F" w14:textId="77777777" w:rsidR="00311003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44" w:lineRule="exact"/>
        <w:ind w:hanging="362"/>
        <w:rPr>
          <w:sz w:val="20"/>
        </w:rPr>
      </w:pP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Retention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Records</w:t>
      </w:r>
      <w:r>
        <w:rPr>
          <w:spacing w:val="-1"/>
          <w:sz w:val="20"/>
        </w:rPr>
        <w:t xml:space="preserve"> </w:t>
      </w:r>
      <w:r>
        <w:rPr>
          <w:sz w:val="20"/>
        </w:rPr>
        <w:t>Retention</w:t>
      </w:r>
    </w:p>
    <w:p w14:paraId="054F5F26" w14:textId="77777777" w:rsidR="00311003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44" w:lineRule="exact"/>
        <w:ind w:hanging="362"/>
        <w:rPr>
          <w:sz w:val="20"/>
        </w:rPr>
      </w:pPr>
      <w:r>
        <w:rPr>
          <w:sz w:val="20"/>
        </w:rPr>
        <w:t>Governance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</w:p>
    <w:p w14:paraId="5101DF70" w14:textId="77777777" w:rsidR="00311003" w:rsidRDefault="00311003">
      <w:pPr>
        <w:pStyle w:val="BodyText"/>
        <w:spacing w:before="3"/>
        <w:rPr>
          <w:sz w:val="30"/>
        </w:rPr>
      </w:pPr>
    </w:p>
    <w:p w14:paraId="4FE5B317" w14:textId="77777777" w:rsidR="00311003" w:rsidRDefault="00000000">
      <w:pPr>
        <w:pStyle w:val="BodyText"/>
        <w:ind w:left="170"/>
        <w:jc w:val="both"/>
      </w:pPr>
      <w:r>
        <w:t>Testing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including:</w:t>
      </w:r>
    </w:p>
    <w:p w14:paraId="3A14464F" w14:textId="77777777" w:rsidR="00311003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before="60"/>
        <w:ind w:hanging="362"/>
        <w:rPr>
          <w:sz w:val="20"/>
        </w:rPr>
      </w:pPr>
      <w:r>
        <w:rPr>
          <w:sz w:val="20"/>
        </w:rPr>
        <w:t>Oversight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OBA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PST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including:</w:t>
      </w:r>
    </w:p>
    <w:p w14:paraId="36DA0D15" w14:textId="77777777" w:rsidR="00311003" w:rsidRDefault="00311003">
      <w:pPr>
        <w:rPr>
          <w:sz w:val="20"/>
        </w:rPr>
        <w:sectPr w:rsidR="00311003">
          <w:headerReference w:type="default" r:id="rId7"/>
          <w:footerReference w:type="default" r:id="rId8"/>
          <w:type w:val="continuous"/>
          <w:pgSz w:w="12240" w:h="15840"/>
          <w:pgMar w:top="2440" w:right="880" w:bottom="1560" w:left="1000" w:header="720" w:footer="1379" w:gutter="0"/>
          <w:pgNumType w:start="1"/>
          <w:cols w:space="720"/>
        </w:sectPr>
      </w:pPr>
    </w:p>
    <w:p w14:paraId="6634A3F0" w14:textId="77777777" w:rsidR="00311003" w:rsidRDefault="00311003">
      <w:pPr>
        <w:pStyle w:val="BodyText"/>
        <w:spacing w:before="10"/>
        <w:rPr>
          <w:sz w:val="11"/>
        </w:rPr>
      </w:pPr>
    </w:p>
    <w:p w14:paraId="0C8208B4" w14:textId="77777777" w:rsidR="00311003" w:rsidRDefault="00000000">
      <w:pPr>
        <w:pStyle w:val="ListParagraph"/>
        <w:numPr>
          <w:ilvl w:val="1"/>
          <w:numId w:val="2"/>
        </w:numPr>
        <w:tabs>
          <w:tab w:val="left" w:pos="1611"/>
        </w:tabs>
        <w:spacing w:before="94" w:line="238" w:lineRule="exact"/>
        <w:rPr>
          <w:sz w:val="20"/>
        </w:rPr>
      </w:pPr>
      <w:r>
        <w:rPr>
          <w:sz w:val="20"/>
        </w:rPr>
        <w:t>Appropriate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OBA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PST</w:t>
      </w:r>
    </w:p>
    <w:p w14:paraId="7394A50C" w14:textId="77777777" w:rsidR="00311003" w:rsidRDefault="00000000">
      <w:pPr>
        <w:pStyle w:val="ListParagraph"/>
        <w:numPr>
          <w:ilvl w:val="1"/>
          <w:numId w:val="2"/>
        </w:numPr>
        <w:tabs>
          <w:tab w:val="left" w:pos="1611"/>
        </w:tabs>
        <w:spacing w:line="230" w:lineRule="exact"/>
        <w:rPr>
          <w:sz w:val="20"/>
        </w:rPr>
      </w:pP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approval</w:t>
      </w:r>
      <w:proofErr w:type="gramEnd"/>
    </w:p>
    <w:p w14:paraId="288CBE63" w14:textId="77777777" w:rsidR="00311003" w:rsidRDefault="00000000">
      <w:pPr>
        <w:pStyle w:val="ListParagraph"/>
        <w:numPr>
          <w:ilvl w:val="1"/>
          <w:numId w:val="2"/>
        </w:numPr>
        <w:tabs>
          <w:tab w:val="left" w:pos="1611"/>
        </w:tabs>
        <w:spacing w:line="230" w:lineRule="exact"/>
        <w:rPr>
          <w:sz w:val="20"/>
        </w:rPr>
      </w:pPr>
      <w:r>
        <w:rPr>
          <w:sz w:val="20"/>
        </w:rPr>
        <w:t>Supervision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(e.g.,</w:t>
      </w:r>
      <w:r>
        <w:rPr>
          <w:spacing w:val="-1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attestations)</w:t>
      </w:r>
    </w:p>
    <w:p w14:paraId="3A70ADB6" w14:textId="77777777" w:rsidR="00311003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36" w:lineRule="exact"/>
        <w:ind w:hanging="362"/>
        <w:rPr>
          <w:sz w:val="20"/>
        </w:rPr>
      </w:pPr>
      <w:r>
        <w:rPr>
          <w:sz w:val="20"/>
        </w:rPr>
        <w:t>Capturing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</w:p>
    <w:p w14:paraId="0FC4FF7A" w14:textId="77777777" w:rsidR="00311003" w:rsidRDefault="00311003">
      <w:pPr>
        <w:pStyle w:val="BodyText"/>
        <w:spacing w:before="5"/>
        <w:rPr>
          <w:sz w:val="30"/>
        </w:rPr>
      </w:pPr>
    </w:p>
    <w:p w14:paraId="1389B56D" w14:textId="77777777" w:rsidR="00311003" w:rsidRDefault="00000000">
      <w:pPr>
        <w:pStyle w:val="BodyText"/>
        <w:ind w:left="169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excluded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review:</w:t>
      </w:r>
    </w:p>
    <w:p w14:paraId="2501E2BA" w14:textId="77777777" w:rsidR="00311003" w:rsidRDefault="00000000">
      <w:pPr>
        <w:pStyle w:val="ListParagraph"/>
        <w:numPr>
          <w:ilvl w:val="0"/>
          <w:numId w:val="2"/>
        </w:numPr>
        <w:tabs>
          <w:tab w:val="left" w:pos="891"/>
        </w:tabs>
        <w:spacing w:before="59"/>
        <w:ind w:right="199"/>
        <w:jc w:val="both"/>
        <w:rPr>
          <w:sz w:val="20"/>
        </w:rPr>
      </w:pPr>
      <w:r>
        <w:rPr>
          <w:sz w:val="20"/>
        </w:rPr>
        <w:t>Filing new/amended Form U4’s to FINRA as this is the responsibility of the Licensing and Registration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8"/>
          <w:sz w:val="20"/>
        </w:rPr>
        <w:t xml:space="preserve"> </w:t>
      </w:r>
      <w:r>
        <w:rPr>
          <w:sz w:val="20"/>
        </w:rPr>
        <w:t>(LARS),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USB</w:t>
      </w:r>
      <w:r>
        <w:rPr>
          <w:spacing w:val="-6"/>
          <w:sz w:val="20"/>
        </w:rPr>
        <w:t xml:space="preserve"> </w:t>
      </w:r>
      <w:r>
        <w:rPr>
          <w:sz w:val="20"/>
        </w:rPr>
        <w:t>Services,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separate</w:t>
      </w:r>
      <w:r>
        <w:rPr>
          <w:spacing w:val="-6"/>
          <w:sz w:val="20"/>
        </w:rPr>
        <w:t xml:space="preserve"> </w:t>
      </w:r>
      <w:r>
        <w:rPr>
          <w:sz w:val="20"/>
        </w:rPr>
        <w:t>risk-based</w:t>
      </w:r>
      <w:r>
        <w:rPr>
          <w:spacing w:val="-53"/>
          <w:sz w:val="20"/>
        </w:rPr>
        <w:t xml:space="preserve"> </w:t>
      </w:r>
      <w:r>
        <w:rPr>
          <w:sz w:val="20"/>
        </w:rPr>
        <w:t>audit coverage. The last audit conducted on LARS was in 2019 that resulted in no issues. Furthermore,</w:t>
      </w:r>
      <w:r>
        <w:rPr>
          <w:spacing w:val="1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within the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amended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U4's.</w:t>
      </w:r>
    </w:p>
    <w:p w14:paraId="5463C206" w14:textId="77777777" w:rsidR="00311003" w:rsidRDefault="00000000">
      <w:pPr>
        <w:pStyle w:val="ListParagraph"/>
        <w:numPr>
          <w:ilvl w:val="0"/>
          <w:numId w:val="2"/>
        </w:numPr>
        <w:tabs>
          <w:tab w:val="left" w:pos="891"/>
        </w:tabs>
        <w:ind w:right="196" w:hanging="360"/>
        <w:jc w:val="both"/>
        <w:rPr>
          <w:sz w:val="20"/>
        </w:rPr>
      </w:pPr>
      <w:r>
        <w:rPr>
          <w:sz w:val="20"/>
        </w:rPr>
        <w:t>OBA and Personal Conflicts of Interest process of non-registered employees as this population is not</w:t>
      </w:r>
      <w:r>
        <w:rPr>
          <w:spacing w:val="1"/>
          <w:sz w:val="20"/>
        </w:rPr>
        <w:t xml:space="preserve"> </w:t>
      </w:r>
      <w:r>
        <w:rPr>
          <w:sz w:val="20"/>
        </w:rPr>
        <w:t>subject to broker dealer regulatory requirements and is part of the Human Resources hiring screening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 subject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separate</w:t>
      </w:r>
      <w:r>
        <w:rPr>
          <w:spacing w:val="-1"/>
          <w:sz w:val="20"/>
        </w:rPr>
        <w:t xml:space="preserve"> </w:t>
      </w:r>
      <w:r>
        <w:rPr>
          <w:sz w:val="20"/>
        </w:rPr>
        <w:t>risk-based</w:t>
      </w:r>
      <w:r>
        <w:rPr>
          <w:spacing w:val="-1"/>
          <w:sz w:val="20"/>
        </w:rPr>
        <w:t xml:space="preserve"> </w:t>
      </w:r>
      <w:r>
        <w:rPr>
          <w:sz w:val="20"/>
        </w:rPr>
        <w:t>audit</w:t>
      </w:r>
      <w:r>
        <w:rPr>
          <w:spacing w:val="-2"/>
          <w:sz w:val="20"/>
        </w:rPr>
        <w:t xml:space="preserve"> </w:t>
      </w:r>
      <w:r>
        <w:rPr>
          <w:sz w:val="20"/>
        </w:rPr>
        <w:t>coverage.</w:t>
      </w:r>
    </w:p>
    <w:p w14:paraId="121752D3" w14:textId="77777777" w:rsidR="00311003" w:rsidRDefault="00311003">
      <w:pPr>
        <w:pStyle w:val="BodyText"/>
        <w:spacing w:before="2"/>
        <w:rPr>
          <w:sz w:val="30"/>
        </w:rPr>
      </w:pPr>
    </w:p>
    <w:p w14:paraId="23D118AF" w14:textId="77777777" w:rsidR="00311003" w:rsidRDefault="00000000">
      <w:pPr>
        <w:pStyle w:val="BodyText"/>
        <w:spacing w:line="268" w:lineRule="auto"/>
        <w:ind w:left="131" w:right="264" w:hanging="11"/>
        <w:jc w:val="both"/>
      </w:pPr>
      <w:r>
        <w:t>Any questions regarding this report should directed to the Group Vice President or Vice President responsible for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audit,</w:t>
      </w:r>
      <w:r>
        <w:rPr>
          <w:spacing w:val="-1"/>
        </w:rPr>
        <w:t xml:space="preserve"> </w:t>
      </w:r>
      <w:r>
        <w:t>Lily</w:t>
      </w:r>
      <w:r>
        <w:rPr>
          <w:spacing w:val="-1"/>
        </w:rPr>
        <w:t xml:space="preserve"> </w:t>
      </w:r>
      <w:r>
        <w:t>White,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Andrea</w:t>
      </w:r>
      <w:r>
        <w:rPr>
          <w:spacing w:val="-1"/>
        </w:rPr>
        <w:t xml:space="preserve"> </w:t>
      </w:r>
      <w:r>
        <w:t>D’Alessandro,</w:t>
      </w:r>
      <w:r>
        <w:rPr>
          <w:spacing w:val="-1"/>
        </w:rPr>
        <w:t xml:space="preserve"> </w:t>
      </w:r>
      <w:r>
        <w:t>respectively.</w:t>
      </w:r>
    </w:p>
    <w:p w14:paraId="27ACB59C" w14:textId="77777777" w:rsidR="00311003" w:rsidRDefault="00311003">
      <w:pPr>
        <w:spacing w:line="268" w:lineRule="auto"/>
        <w:jc w:val="both"/>
        <w:sectPr w:rsidR="00311003">
          <w:pgSz w:w="12240" w:h="15840"/>
          <w:pgMar w:top="2440" w:right="880" w:bottom="1560" w:left="1000" w:header="720" w:footer="1379" w:gutter="0"/>
          <w:cols w:space="720"/>
        </w:sectPr>
      </w:pPr>
    </w:p>
    <w:p w14:paraId="27BFF8D1" w14:textId="77777777" w:rsidR="00311003" w:rsidRDefault="00311003">
      <w:pPr>
        <w:pStyle w:val="BodyText"/>
      </w:pPr>
    </w:p>
    <w:p w14:paraId="0AB926EC" w14:textId="77777777" w:rsidR="00311003" w:rsidRDefault="00000000">
      <w:pPr>
        <w:pStyle w:val="BodyText"/>
        <w:ind w:left="165"/>
      </w:pPr>
      <w:r>
        <w:pict w14:anchorId="2279CF7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99.5pt;height:55.5pt;mso-left-percent:-10001;mso-top-percent:-10001;mso-position-horizontal:absolute;mso-position-horizontal-relative:char;mso-position-vertical:absolute;mso-position-vertical-relative:line;mso-left-percent:-10001;mso-top-percent:-10001" fillcolor="#7ca3d1" strokeweight=".48pt">
            <v:textbox inset="0,0,0,0">
              <w:txbxContent>
                <w:p w14:paraId="397CC5B9" w14:textId="77777777" w:rsidR="00311003" w:rsidRDefault="00000000">
                  <w:pPr>
                    <w:spacing w:before="61"/>
                    <w:ind w:left="141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Issue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IS-001585</w:t>
                  </w:r>
                </w:p>
                <w:p w14:paraId="02BA1058" w14:textId="77777777" w:rsidR="00311003" w:rsidRDefault="00000000">
                  <w:pPr>
                    <w:pStyle w:val="BodyText"/>
                    <w:spacing w:line="270" w:lineRule="atLeast"/>
                    <w:ind w:left="141" w:right="415"/>
                  </w:pPr>
                  <w:proofErr w:type="spellStart"/>
                  <w:r>
                    <w:rPr>
                      <w:rFonts w:ascii="Arial"/>
                      <w:b/>
                    </w:rPr>
                    <w:t>Issue</w:t>
                  </w:r>
                  <w:proofErr w:type="spellEnd"/>
                  <w:r>
                    <w:rPr>
                      <w:rFonts w:ascii="Arial"/>
                      <w:b/>
                    </w:rPr>
                    <w:t xml:space="preserve"> Name: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t>Governance and supervision controls related to ABC Company Annuities Distributors, Inc.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(PAD) Outside Business Activities (OBAs) and personal investments in private securities transactions (e.g.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passive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investments) needs improvement.</w:t>
                  </w:r>
                </w:p>
              </w:txbxContent>
            </v:textbox>
            <w10:anchorlock/>
          </v:shape>
        </w:pict>
      </w:r>
    </w:p>
    <w:p w14:paraId="7C16D9A9" w14:textId="77777777" w:rsidR="00311003" w:rsidRDefault="00311003">
      <w:pPr>
        <w:pStyle w:val="BodyText"/>
        <w:spacing w:before="3"/>
        <w:rPr>
          <w:sz w:val="9"/>
        </w:rPr>
      </w:pPr>
    </w:p>
    <w:p w14:paraId="13A935DD" w14:textId="77777777" w:rsidR="00311003" w:rsidRDefault="00000000">
      <w:pPr>
        <w:pStyle w:val="BodyText"/>
        <w:spacing w:before="94"/>
        <w:ind w:left="166" w:right="195" w:hanging="11"/>
        <w:jc w:val="both"/>
      </w:pPr>
      <w:r>
        <w:rPr>
          <w:color w:val="1E487C"/>
        </w:rPr>
        <w:t>Issue Description:</w:t>
      </w:r>
      <w:r>
        <w:rPr>
          <w:color w:val="1E487C"/>
          <w:spacing w:val="1"/>
        </w:rPr>
        <w:t xml:space="preserve"> </w:t>
      </w:r>
      <w:r>
        <w:t>FINRA Rules 3270 (Outside Business Activities of Registered Persons) and 3280 (Private</w:t>
      </w:r>
      <w:r>
        <w:rPr>
          <w:spacing w:val="1"/>
        </w:rPr>
        <w:t xml:space="preserve"> </w:t>
      </w:r>
      <w:r>
        <w:t>Securities Transactions of an Associated Person) (together, Rules) require registered persons / associated</w:t>
      </w:r>
      <w:r>
        <w:rPr>
          <w:spacing w:val="1"/>
        </w:rPr>
        <w:t xml:space="preserve"> </w:t>
      </w:r>
      <w:r>
        <w:t>persons to provide written notice to the firm prior to participating in any OBA and / or PST, so that the firm can</w:t>
      </w:r>
      <w:r>
        <w:rPr>
          <w:spacing w:val="1"/>
        </w:rPr>
        <w:t xml:space="preserve"> </w:t>
      </w:r>
      <w:r>
        <w:t>determine whether to permit, prohibit, or limit</w:t>
      </w:r>
      <w:r>
        <w:rPr>
          <w:spacing w:val="1"/>
        </w:rPr>
        <w:t xml:space="preserve"> </w:t>
      </w:r>
      <w:r>
        <w:t>such activities. As stated in the Rules, an OBA is “any business</w:t>
      </w:r>
      <w:r>
        <w:rPr>
          <w:spacing w:val="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relationship”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registered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may</w:t>
      </w:r>
      <w:r>
        <w:rPr>
          <w:spacing w:val="-53"/>
        </w:rPr>
        <w:t xml:space="preserve"> </w:t>
      </w:r>
      <w:r>
        <w:t>either “be</w:t>
      </w:r>
      <w:r>
        <w:rPr>
          <w:spacing w:val="1"/>
        </w:rPr>
        <w:t xml:space="preserve"> </w:t>
      </w:r>
      <w:r>
        <w:t>compensated or have a reasonable expectation of compensation.”</w:t>
      </w:r>
      <w:r>
        <w:rPr>
          <w:spacing w:val="1"/>
        </w:rPr>
        <w:t xml:space="preserve"> </w:t>
      </w:r>
      <w:r>
        <w:t>Similarly, a PST is “any</w:t>
      </w:r>
      <w:r>
        <w:rPr>
          <w:spacing w:val="1"/>
        </w:rPr>
        <w:t xml:space="preserve"> </w:t>
      </w:r>
      <w:r>
        <w:t>securities</w:t>
      </w:r>
      <w:r>
        <w:rPr>
          <w:spacing w:val="-53"/>
        </w:rPr>
        <w:t xml:space="preserve"> </w:t>
      </w:r>
      <w:r>
        <w:rPr>
          <w:spacing w:val="-1"/>
        </w:rPr>
        <w:t>transaction</w:t>
      </w:r>
      <w:r>
        <w:rPr>
          <w:spacing w:val="-14"/>
        </w:rPr>
        <w:t xml:space="preserve"> </w:t>
      </w:r>
      <w:r>
        <w:rPr>
          <w:spacing w:val="-1"/>
        </w:rPr>
        <w:t>outside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course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scope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person's</w:t>
      </w:r>
      <w:r>
        <w:rPr>
          <w:spacing w:val="-13"/>
        </w:rPr>
        <w:t xml:space="preserve"> </w:t>
      </w:r>
      <w:r>
        <w:t>employment”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</w:t>
      </w:r>
      <w:r>
        <w:rPr>
          <w:spacing w:val="-53"/>
        </w:rPr>
        <w:t xml:space="preserve"> </w:t>
      </w:r>
      <w:r>
        <w:t>“selling compensation.” Per FINRA, certain OBAs (and PSTs that fall within the definition of an OBA) must be</w:t>
      </w:r>
      <w:r>
        <w:rPr>
          <w:spacing w:val="1"/>
        </w:rPr>
        <w:t xml:space="preserve"> </w:t>
      </w:r>
      <w:r>
        <w:t>timely reflected on the Registered Representative’s (RRs) Form U4. Per PAD policy, all OBAs and personal</w:t>
      </w:r>
      <w:r>
        <w:rPr>
          <w:spacing w:val="1"/>
        </w:rPr>
        <w:t xml:space="preserve"> </w:t>
      </w:r>
      <w:r>
        <w:rPr>
          <w:spacing w:val="-1"/>
        </w:rPr>
        <w:t>investments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private</w:t>
      </w:r>
      <w:r>
        <w:rPr>
          <w:spacing w:val="-14"/>
        </w:rPr>
        <w:t xml:space="preserve"> </w:t>
      </w:r>
      <w:r>
        <w:t>securities</w:t>
      </w:r>
      <w:r>
        <w:rPr>
          <w:spacing w:val="-13"/>
        </w:rPr>
        <w:t xml:space="preserve"> </w:t>
      </w:r>
      <w:r>
        <w:t>(private</w:t>
      </w:r>
      <w:r>
        <w:rPr>
          <w:spacing w:val="-14"/>
        </w:rPr>
        <w:t xml:space="preserve"> </w:t>
      </w:r>
      <w:r>
        <w:t>securities</w:t>
      </w:r>
      <w:r>
        <w:rPr>
          <w:spacing w:val="-13"/>
        </w:rPr>
        <w:t xml:space="preserve"> </w:t>
      </w:r>
      <w:r>
        <w:t>transactions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prohibited)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submitted</w:t>
      </w:r>
      <w:r>
        <w:rPr>
          <w:spacing w:val="-14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OBA</w:t>
      </w:r>
      <w:r>
        <w:rPr>
          <w:spacing w:val="-14"/>
        </w:rPr>
        <w:t xml:space="preserve"> </w:t>
      </w:r>
      <w:r>
        <w:t>Manager</w:t>
      </w:r>
      <w:r>
        <w:rPr>
          <w:spacing w:val="-53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serves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book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record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ABC</w:t>
      </w:r>
      <w:r>
        <w:rPr>
          <w:spacing w:val="19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broker</w:t>
      </w:r>
      <w:r>
        <w:rPr>
          <w:spacing w:val="20"/>
        </w:rPr>
        <w:t xml:space="preserve"> </w:t>
      </w:r>
      <w:r>
        <w:t>dealers.</w:t>
      </w:r>
      <w:r>
        <w:rPr>
          <w:spacing w:val="20"/>
        </w:rPr>
        <w:t xml:space="preserve"> </w:t>
      </w:r>
      <w:r>
        <w:t>Further,</w:t>
      </w:r>
      <w:r>
        <w:rPr>
          <w:spacing w:val="20"/>
        </w:rPr>
        <w:t xml:space="preserve"> </w:t>
      </w:r>
      <w:r>
        <w:t>PAD</w:t>
      </w:r>
      <w:r>
        <w:rPr>
          <w:spacing w:val="20"/>
        </w:rPr>
        <w:t xml:space="preserve"> </w:t>
      </w:r>
      <w:r>
        <w:t>requires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proofErr w:type="gramStart"/>
      <w:r>
        <w:t>associated</w:t>
      </w:r>
      <w:proofErr w:type="gramEnd"/>
    </w:p>
    <w:p w14:paraId="5D84105D" w14:textId="77777777" w:rsidR="00311003" w:rsidRDefault="00000000">
      <w:pPr>
        <w:pStyle w:val="BodyText"/>
        <w:spacing w:before="39" w:line="280" w:lineRule="auto"/>
        <w:ind w:left="166" w:right="197"/>
        <w:jc w:val="both"/>
      </w:pPr>
      <w:r>
        <w:t>person to complete annual attestations that include information regarding the accuracy and completeness of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U4 and</w:t>
      </w:r>
      <w:r>
        <w:rPr>
          <w:spacing w:val="1"/>
        </w:rPr>
        <w:t xml:space="preserve"> </w:t>
      </w:r>
      <w:r>
        <w:t>OBA / personal</w:t>
      </w:r>
      <w:r>
        <w:rPr>
          <w:spacing w:val="-1"/>
        </w:rPr>
        <w:t xml:space="preserve"> </w:t>
      </w:r>
      <w:r>
        <w:t>investments in private securities</w:t>
      </w:r>
      <w:r>
        <w:rPr>
          <w:spacing w:val="-1"/>
        </w:rPr>
        <w:t xml:space="preserve"> </w:t>
      </w:r>
      <w:r>
        <w:t>disclosures.</w:t>
      </w:r>
    </w:p>
    <w:p w14:paraId="2E7498A7" w14:textId="77777777" w:rsidR="00311003" w:rsidRDefault="00311003">
      <w:pPr>
        <w:pStyle w:val="BodyText"/>
        <w:spacing w:before="2"/>
      </w:pPr>
    </w:p>
    <w:p w14:paraId="4A11027A" w14:textId="77777777" w:rsidR="00311003" w:rsidRDefault="00000000">
      <w:pPr>
        <w:pStyle w:val="BodyText"/>
        <w:ind w:left="166" w:right="198" w:hanging="11"/>
        <w:jc w:val="both"/>
      </w:pPr>
      <w:r>
        <w:t>Internal Audit’s (IA) assessment of the design and operating effectiveness of OBA and PST controls for PAD,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policy,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concerns:</w:t>
      </w:r>
    </w:p>
    <w:p w14:paraId="0998EAED" w14:textId="77777777" w:rsidR="00311003" w:rsidRDefault="00311003">
      <w:pPr>
        <w:pStyle w:val="BodyText"/>
        <w:spacing w:before="5"/>
        <w:rPr>
          <w:sz w:val="30"/>
        </w:rPr>
      </w:pPr>
    </w:p>
    <w:p w14:paraId="4A792917" w14:textId="77777777" w:rsidR="00311003" w:rsidRDefault="00000000">
      <w:pPr>
        <w:pStyle w:val="BodyText"/>
        <w:spacing w:before="1"/>
        <w:ind w:left="155"/>
        <w:jc w:val="both"/>
      </w:pPr>
      <w:r>
        <w:rPr>
          <w:u w:val="single"/>
        </w:rPr>
        <w:t>Books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Records</w:t>
      </w:r>
    </w:p>
    <w:p w14:paraId="252A2A87" w14:textId="77777777" w:rsidR="00311003" w:rsidRDefault="00000000">
      <w:pPr>
        <w:pStyle w:val="BodyText"/>
        <w:spacing w:before="59"/>
        <w:ind w:left="166" w:right="196" w:hanging="11"/>
        <w:jc w:val="both"/>
      </w:pPr>
      <w:r>
        <w:t>IA was unable to obtain documentation and/or evidence in a timely manner to support conclusions reached and</w:t>
      </w:r>
      <w:r>
        <w:rPr>
          <w:spacing w:val="1"/>
        </w:rPr>
        <w:t xml:space="preserve"> </w:t>
      </w:r>
      <w:r>
        <w:t>approvals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141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OBAs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disclosed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2018.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firm-wide</w:t>
      </w:r>
      <w:r>
        <w:rPr>
          <w:spacing w:val="1"/>
        </w:rPr>
        <w:t xml:space="preserve"> </w:t>
      </w:r>
      <w:r>
        <w:t>decommissioning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(Lotus</w:t>
      </w:r>
      <w:r>
        <w:rPr>
          <w:spacing w:val="-3"/>
        </w:rPr>
        <w:t xml:space="preserve"> </w:t>
      </w:r>
      <w:r>
        <w:t>Notes)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trail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approval</w:t>
      </w:r>
      <w:r>
        <w:rPr>
          <w:spacing w:val="-53"/>
        </w:rPr>
        <w:t xml:space="preserve"> </w:t>
      </w:r>
      <w:r>
        <w:t>which were not readily accessible. Although the records were located and produced, the data was stored in an</w:t>
      </w:r>
      <w:r>
        <w:rPr>
          <w:spacing w:val="1"/>
        </w:rPr>
        <w:t xml:space="preserve"> </w:t>
      </w:r>
      <w:r>
        <w:rPr>
          <w:spacing w:val="-1"/>
        </w:rPr>
        <w:t>archive</w:t>
      </w:r>
      <w:r>
        <w:rPr>
          <w:spacing w:val="-12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(</w:t>
      </w:r>
      <w:proofErr w:type="spellStart"/>
      <w:r>
        <w:t>iManage</w:t>
      </w:r>
      <w:proofErr w:type="spellEnd"/>
      <w:r>
        <w:t>)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official</w:t>
      </w:r>
      <w:r>
        <w:rPr>
          <w:spacing w:val="-13"/>
        </w:rPr>
        <w:t xml:space="preserve"> </w:t>
      </w:r>
      <w:r>
        <w:t>recordkeeping</w:t>
      </w:r>
      <w:r>
        <w:rPr>
          <w:spacing w:val="-12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Furthermore,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inquiry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review</w:t>
      </w:r>
      <w:r>
        <w:rPr>
          <w:spacing w:val="-53"/>
        </w:rPr>
        <w:t xml:space="preserve"> </w:t>
      </w:r>
      <w:r>
        <w:t>helped enhance the response time that PAD may have in providing similar information to FINRA, should it be</w:t>
      </w:r>
      <w:r>
        <w:rPr>
          <w:spacing w:val="1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5DAE4858" w14:textId="77777777" w:rsidR="00311003" w:rsidRDefault="00311003">
      <w:pPr>
        <w:pStyle w:val="BodyText"/>
        <w:spacing w:before="6"/>
        <w:rPr>
          <w:sz w:val="30"/>
        </w:rPr>
      </w:pPr>
    </w:p>
    <w:p w14:paraId="021A46DE" w14:textId="77777777" w:rsidR="00311003" w:rsidRDefault="00000000">
      <w:pPr>
        <w:pStyle w:val="BodyText"/>
        <w:ind w:left="155"/>
        <w:jc w:val="both"/>
      </w:pPr>
      <w:r>
        <w:rPr>
          <w:u w:val="single"/>
        </w:rPr>
        <w:t>Supervision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Outside</w:t>
      </w:r>
      <w:r>
        <w:rPr>
          <w:spacing w:val="-2"/>
          <w:u w:val="single"/>
        </w:rPr>
        <w:t xml:space="preserve"> </w:t>
      </w:r>
      <w:r>
        <w:rPr>
          <w:u w:val="single"/>
        </w:rPr>
        <w:t>Business</w:t>
      </w:r>
      <w:r>
        <w:rPr>
          <w:spacing w:val="-2"/>
          <w:u w:val="single"/>
        </w:rPr>
        <w:t xml:space="preserve"> </w:t>
      </w:r>
      <w:r>
        <w:rPr>
          <w:u w:val="single"/>
        </w:rPr>
        <w:t>Activity</w:t>
      </w:r>
    </w:p>
    <w:p w14:paraId="451D5F88" w14:textId="77777777" w:rsidR="00311003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59"/>
        <w:ind w:right="196" w:hanging="270"/>
        <w:jc w:val="both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reconciliation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currently</w:t>
      </w:r>
      <w:r>
        <w:rPr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9"/>
          <w:sz w:val="20"/>
        </w:rPr>
        <w:t xml:space="preserve"> </w:t>
      </w:r>
      <w:r>
        <w:rPr>
          <w:sz w:val="20"/>
        </w:rPr>
        <w:t>internal</w:t>
      </w:r>
      <w:r>
        <w:rPr>
          <w:spacing w:val="-8"/>
          <w:sz w:val="20"/>
        </w:rPr>
        <w:t xml:space="preserve"> </w:t>
      </w:r>
      <w:r>
        <w:rPr>
          <w:sz w:val="20"/>
        </w:rPr>
        <w:t>records</w:t>
      </w:r>
      <w:r>
        <w:rPr>
          <w:spacing w:val="-9"/>
          <w:sz w:val="20"/>
        </w:rPr>
        <w:t xml:space="preserve"> </w:t>
      </w:r>
      <w:r>
        <w:rPr>
          <w:sz w:val="20"/>
        </w:rPr>
        <w:t>match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FINRA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10"/>
          <w:sz w:val="20"/>
        </w:rPr>
        <w:t xml:space="preserve"> </w:t>
      </w:r>
      <w:r>
        <w:rPr>
          <w:sz w:val="20"/>
        </w:rPr>
        <w:t>U4</w:t>
      </w:r>
      <w:r>
        <w:rPr>
          <w:spacing w:val="-9"/>
          <w:sz w:val="20"/>
        </w:rPr>
        <w:t xml:space="preserve"> </w:t>
      </w:r>
      <w:r>
        <w:rPr>
          <w:sz w:val="20"/>
        </w:rPr>
        <w:t>records.</w:t>
      </w:r>
      <w:r>
        <w:rPr>
          <w:spacing w:val="-8"/>
          <w:sz w:val="20"/>
        </w:rPr>
        <w:t xml:space="preserve"> </w:t>
      </w:r>
      <w:r>
        <w:rPr>
          <w:sz w:val="20"/>
        </w:rPr>
        <w:t>IA’s</w:t>
      </w:r>
      <w:r>
        <w:rPr>
          <w:spacing w:val="-53"/>
          <w:sz w:val="20"/>
        </w:rPr>
        <w:t xml:space="preserve"> </w:t>
      </w:r>
      <w:r>
        <w:rPr>
          <w:sz w:val="20"/>
        </w:rPr>
        <w:t>completeness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RRs</w:t>
      </w:r>
      <w:r>
        <w:rPr>
          <w:spacing w:val="-3"/>
          <w:sz w:val="20"/>
        </w:rPr>
        <w:t xml:space="preserve"> </w:t>
      </w:r>
      <w:r>
        <w:rPr>
          <w:sz w:val="20"/>
        </w:rPr>
        <w:t>whose</w:t>
      </w:r>
      <w:r>
        <w:rPr>
          <w:spacing w:val="-4"/>
          <w:sz w:val="20"/>
        </w:rPr>
        <w:t xml:space="preserve"> </w:t>
      </w:r>
      <w:r>
        <w:rPr>
          <w:sz w:val="20"/>
        </w:rPr>
        <w:t>OBA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OBA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FINRA</w:t>
      </w:r>
      <w:r>
        <w:rPr>
          <w:spacing w:val="-4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U4</w:t>
      </w:r>
      <w:r>
        <w:rPr>
          <w:spacing w:val="-53"/>
          <w:sz w:val="20"/>
        </w:rPr>
        <w:t xml:space="preserve"> </w:t>
      </w:r>
      <w:r>
        <w:rPr>
          <w:sz w:val="20"/>
        </w:rPr>
        <w:t>records.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9</w:t>
      </w:r>
      <w:r>
        <w:rPr>
          <w:spacing w:val="-10"/>
          <w:sz w:val="20"/>
        </w:rPr>
        <w:t xml:space="preserve"> </w:t>
      </w:r>
      <w:r>
        <w:rPr>
          <w:sz w:val="20"/>
        </w:rPr>
        <w:t>instances,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RRs</w:t>
      </w:r>
      <w:r>
        <w:rPr>
          <w:spacing w:val="-11"/>
          <w:sz w:val="20"/>
        </w:rPr>
        <w:t xml:space="preserve"> </w:t>
      </w:r>
      <w:r>
        <w:rPr>
          <w:sz w:val="20"/>
        </w:rPr>
        <w:t>conducted</w:t>
      </w:r>
      <w:r>
        <w:rPr>
          <w:spacing w:val="-11"/>
          <w:sz w:val="20"/>
        </w:rPr>
        <w:t xml:space="preserve"> </w:t>
      </w:r>
      <w:r>
        <w:rPr>
          <w:sz w:val="20"/>
        </w:rPr>
        <w:t>OBAs</w:t>
      </w:r>
      <w:r>
        <w:rPr>
          <w:spacing w:val="-10"/>
          <w:sz w:val="20"/>
        </w:rPr>
        <w:t xml:space="preserve"> </w:t>
      </w:r>
      <w:r>
        <w:rPr>
          <w:sz w:val="20"/>
        </w:rPr>
        <w:t>while</w:t>
      </w:r>
      <w:r>
        <w:rPr>
          <w:spacing w:val="-10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prior</w:t>
      </w:r>
      <w:r>
        <w:rPr>
          <w:spacing w:val="-10"/>
          <w:sz w:val="20"/>
        </w:rPr>
        <w:t xml:space="preserve"> </w:t>
      </w:r>
      <w:r>
        <w:rPr>
          <w:sz w:val="20"/>
        </w:rPr>
        <w:t>broker-dealer,</w:t>
      </w:r>
      <w:r>
        <w:rPr>
          <w:spacing w:val="-11"/>
          <w:sz w:val="20"/>
        </w:rPr>
        <w:t xml:space="preserve"> </w:t>
      </w:r>
      <w:r>
        <w:rPr>
          <w:sz w:val="20"/>
        </w:rPr>
        <w:t>but</w:t>
      </w:r>
      <w:r>
        <w:rPr>
          <w:spacing w:val="-10"/>
          <w:sz w:val="20"/>
        </w:rPr>
        <w:t xml:space="preserve"> </w:t>
      </w:r>
      <w:r>
        <w:rPr>
          <w:sz w:val="20"/>
        </w:rPr>
        <w:t>those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53"/>
          <w:sz w:val="20"/>
        </w:rPr>
        <w:t xml:space="preserve"> </w:t>
      </w:r>
      <w:r>
        <w:rPr>
          <w:sz w:val="20"/>
        </w:rPr>
        <w:t>OBAs were never disclosed during their association with PAD. In 1 instance, an OBA was not reported to</w:t>
      </w:r>
      <w:r>
        <w:rPr>
          <w:spacing w:val="1"/>
          <w:sz w:val="20"/>
        </w:rPr>
        <w:t xml:space="preserve"> </w:t>
      </w:r>
      <w:r>
        <w:rPr>
          <w:sz w:val="20"/>
        </w:rPr>
        <w:t>FINRA.</w:t>
      </w:r>
    </w:p>
    <w:p w14:paraId="12E6B6AF" w14:textId="77777777" w:rsidR="00311003" w:rsidRDefault="00000000">
      <w:pPr>
        <w:pStyle w:val="ListParagraph"/>
        <w:numPr>
          <w:ilvl w:val="0"/>
          <w:numId w:val="1"/>
        </w:numPr>
        <w:tabs>
          <w:tab w:val="left" w:pos="621"/>
        </w:tabs>
        <w:ind w:right="196" w:hanging="270"/>
        <w:jc w:val="both"/>
        <w:rPr>
          <w:sz w:val="20"/>
        </w:rPr>
      </w:pPr>
      <w:r>
        <w:rPr>
          <w:sz w:val="20"/>
        </w:rPr>
        <w:t>Controls and/or processes to proactively identify potential undisclosed activity of a RR could be enhanced.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8"/>
          <w:sz w:val="20"/>
        </w:rPr>
        <w:t xml:space="preserve"> </w:t>
      </w:r>
      <w:r>
        <w:rPr>
          <w:sz w:val="20"/>
        </w:rPr>
        <w:t>IA’s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controls</w:t>
      </w:r>
      <w:r>
        <w:rPr>
          <w:spacing w:val="-7"/>
          <w:sz w:val="20"/>
        </w:rPr>
        <w:t xml:space="preserve"> </w:t>
      </w:r>
      <w:r>
        <w:rPr>
          <w:sz w:val="20"/>
        </w:rPr>
        <w:t>testing,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8"/>
          <w:sz w:val="20"/>
        </w:rPr>
        <w:t xml:space="preserve"> </w:t>
      </w:r>
      <w:r>
        <w:rPr>
          <w:sz w:val="20"/>
        </w:rPr>
        <w:t>revealed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limited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either</w:t>
      </w:r>
      <w:r>
        <w:rPr>
          <w:spacing w:val="-6"/>
          <w:sz w:val="20"/>
        </w:rPr>
        <w:t xml:space="preserve"> </w:t>
      </w:r>
      <w:r>
        <w:rPr>
          <w:sz w:val="20"/>
        </w:rPr>
        <w:t>1st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2nd</w:t>
      </w:r>
      <w:r>
        <w:rPr>
          <w:spacing w:val="-53"/>
          <w:sz w:val="20"/>
        </w:rPr>
        <w:t xml:space="preserve"> </w:t>
      </w:r>
      <w:r>
        <w:rPr>
          <w:sz w:val="20"/>
        </w:rPr>
        <w:t>lines. It should be noted that CTU performs sample testing of certain RR emails to identify potential</w:t>
      </w:r>
      <w:r>
        <w:rPr>
          <w:spacing w:val="1"/>
          <w:sz w:val="20"/>
        </w:rPr>
        <w:t xml:space="preserve"> </w:t>
      </w:r>
      <w:r>
        <w:rPr>
          <w:sz w:val="20"/>
        </w:rPr>
        <w:t>undisclosed</w:t>
      </w:r>
      <w:r>
        <w:rPr>
          <w:spacing w:val="-3"/>
          <w:sz w:val="20"/>
        </w:rPr>
        <w:t xml:space="preserve"> </w:t>
      </w:r>
      <w:r>
        <w:rPr>
          <w:sz w:val="20"/>
        </w:rPr>
        <w:t>OBAs on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annual</w:t>
      </w:r>
      <w:r>
        <w:rPr>
          <w:spacing w:val="-1"/>
          <w:sz w:val="20"/>
        </w:rPr>
        <w:t xml:space="preserve"> </w:t>
      </w:r>
      <w:r>
        <w:rPr>
          <w:sz w:val="20"/>
        </w:rPr>
        <w:t>basis.</w:t>
      </w:r>
    </w:p>
    <w:p w14:paraId="37FB0CA0" w14:textId="77777777" w:rsidR="00311003" w:rsidRDefault="00000000">
      <w:pPr>
        <w:pStyle w:val="ListParagraph"/>
        <w:numPr>
          <w:ilvl w:val="0"/>
          <w:numId w:val="1"/>
        </w:numPr>
        <w:tabs>
          <w:tab w:val="left" w:pos="621"/>
        </w:tabs>
        <w:ind w:right="197" w:hanging="270"/>
        <w:jc w:val="both"/>
        <w:rPr>
          <w:sz w:val="20"/>
        </w:rPr>
      </w:pP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and supervision to ensure that appropriate classification and treatment of activity is taking place</w:t>
      </w:r>
      <w:r>
        <w:rPr>
          <w:spacing w:val="1"/>
          <w:sz w:val="20"/>
        </w:rPr>
        <w:t xml:space="preserve"> </w:t>
      </w:r>
      <w:r>
        <w:rPr>
          <w:sz w:val="20"/>
        </w:rPr>
        <w:t>needs improvement. Based on reperformance testing of 25 disclosed OBAs IA identified one instance of an</w:t>
      </w:r>
      <w:r>
        <w:rPr>
          <w:spacing w:val="1"/>
          <w:sz w:val="20"/>
        </w:rPr>
        <w:t xml:space="preserve"> </w:t>
      </w:r>
      <w:r>
        <w:rPr>
          <w:sz w:val="20"/>
        </w:rPr>
        <w:t>activity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was</w:t>
      </w:r>
      <w:r>
        <w:rPr>
          <w:spacing w:val="-11"/>
          <w:sz w:val="20"/>
        </w:rPr>
        <w:t xml:space="preserve"> </w:t>
      </w:r>
      <w:r>
        <w:rPr>
          <w:sz w:val="20"/>
        </w:rPr>
        <w:t>improperly</w:t>
      </w:r>
      <w:r>
        <w:rPr>
          <w:spacing w:val="-12"/>
          <w:sz w:val="20"/>
        </w:rPr>
        <w:t xml:space="preserve"> </w:t>
      </w:r>
      <w:r>
        <w:rPr>
          <w:sz w:val="20"/>
        </w:rPr>
        <w:t>reported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OBA</w:t>
      </w:r>
      <w:r>
        <w:rPr>
          <w:spacing w:val="-11"/>
          <w:sz w:val="20"/>
        </w:rPr>
        <w:t xml:space="preserve"> </w:t>
      </w:r>
      <w:r>
        <w:rPr>
          <w:sz w:val="20"/>
        </w:rPr>
        <w:t>when,</w:t>
      </w:r>
      <w:r>
        <w:rPr>
          <w:spacing w:val="-11"/>
          <w:sz w:val="20"/>
        </w:rPr>
        <w:t xml:space="preserve"> </w:t>
      </w:r>
      <w:r>
        <w:rPr>
          <w:sz w:val="20"/>
        </w:rPr>
        <w:t>based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policies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been</w:t>
      </w:r>
      <w:r>
        <w:rPr>
          <w:spacing w:val="-53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 Personal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1"/>
          <w:sz w:val="20"/>
        </w:rPr>
        <w:t xml:space="preserve"> </w:t>
      </w:r>
      <w:r>
        <w:rPr>
          <w:sz w:val="20"/>
        </w:rPr>
        <w:t>Security 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(passive</w:t>
      </w:r>
      <w:r>
        <w:rPr>
          <w:spacing w:val="-1"/>
          <w:sz w:val="20"/>
        </w:rPr>
        <w:t xml:space="preserve"> </w:t>
      </w:r>
      <w:r>
        <w:rPr>
          <w:sz w:val="20"/>
        </w:rPr>
        <w:t>Investment).</w:t>
      </w:r>
    </w:p>
    <w:p w14:paraId="352020AE" w14:textId="77777777" w:rsidR="00311003" w:rsidRDefault="00311003">
      <w:pPr>
        <w:jc w:val="both"/>
        <w:rPr>
          <w:sz w:val="20"/>
        </w:rPr>
        <w:sectPr w:rsidR="00311003">
          <w:pgSz w:w="12240" w:h="15840"/>
          <w:pgMar w:top="2440" w:right="880" w:bottom="1560" w:left="1000" w:header="720" w:footer="1379" w:gutter="0"/>
          <w:cols w:space="720"/>
        </w:sectPr>
      </w:pPr>
    </w:p>
    <w:p w14:paraId="2C9282C9" w14:textId="77777777" w:rsidR="00311003" w:rsidRDefault="00311003">
      <w:pPr>
        <w:pStyle w:val="BodyText"/>
      </w:pPr>
    </w:p>
    <w:p w14:paraId="0BB02F1E" w14:textId="77777777" w:rsidR="00311003" w:rsidRDefault="00311003">
      <w:pPr>
        <w:pStyle w:val="BodyText"/>
        <w:spacing w:before="2"/>
        <w:rPr>
          <w:sz w:val="17"/>
        </w:rPr>
      </w:pPr>
    </w:p>
    <w:p w14:paraId="010C3A10" w14:textId="77777777" w:rsidR="00311003" w:rsidRDefault="00000000">
      <w:pPr>
        <w:pStyle w:val="BodyText"/>
        <w:spacing w:before="94"/>
        <w:ind w:left="155"/>
        <w:jc w:val="both"/>
      </w:pPr>
      <w:r>
        <w:rPr>
          <w:u w:val="single"/>
        </w:rPr>
        <w:t>Policies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Procedures</w:t>
      </w:r>
    </w:p>
    <w:p w14:paraId="4D1C3913" w14:textId="77777777" w:rsidR="00311003" w:rsidRDefault="00000000">
      <w:pPr>
        <w:pStyle w:val="BodyText"/>
        <w:spacing w:before="59"/>
        <w:ind w:left="166" w:right="196" w:hanging="11"/>
        <w:jc w:val="both"/>
      </w:pPr>
      <w:r>
        <w:t>IA noted a discrepancy between PAD Written Supervisory Procedures (WSPs) and PAD Compliance Manual</w:t>
      </w:r>
      <w:r>
        <w:rPr>
          <w:spacing w:val="1"/>
        </w:rPr>
        <w:t xml:space="preserve"> </w:t>
      </w:r>
      <w:r>
        <w:t>because PAD Policy for Outside Business Activities states that: "PAD Associated persons are not permitted to</w:t>
      </w:r>
      <w:r>
        <w:rPr>
          <w:spacing w:val="1"/>
        </w:rPr>
        <w:t xml:space="preserve"> </w:t>
      </w:r>
      <w:r>
        <w:rPr>
          <w:spacing w:val="-1"/>
        </w:rPr>
        <w:t>engage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Private</w:t>
      </w:r>
      <w:r>
        <w:rPr>
          <w:spacing w:val="-14"/>
        </w:rPr>
        <w:t xml:space="preserve"> </w:t>
      </w:r>
      <w:r>
        <w:t>Securities</w:t>
      </w:r>
      <w:r>
        <w:rPr>
          <w:spacing w:val="-13"/>
        </w:rPr>
        <w:t xml:space="preserve"> </w:t>
      </w:r>
      <w:r>
        <w:t>Transactions</w:t>
      </w:r>
      <w:r>
        <w:rPr>
          <w:spacing w:val="-13"/>
        </w:rPr>
        <w:t xml:space="preserve"> </w:t>
      </w:r>
      <w:r>
        <w:t>regardless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associate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compensated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reasonable</w:t>
      </w:r>
      <w:r>
        <w:rPr>
          <w:spacing w:val="-53"/>
        </w:rPr>
        <w:t xml:space="preserve"> </w:t>
      </w:r>
      <w:r>
        <w:t>expectation of compensation". However, IA validated that if passive, PAD allows personal investments in private</w:t>
      </w:r>
      <w:r>
        <w:rPr>
          <w:spacing w:val="1"/>
        </w:rPr>
        <w:t xml:space="preserve"> </w:t>
      </w:r>
      <w:r>
        <w:t>securities. Further, PAD Compliance Manual language seems to allow such transactions: "</w:t>
      </w:r>
      <w:r>
        <w:rPr>
          <w:rFonts w:ascii="Arial"/>
          <w:i/>
        </w:rPr>
        <w:t>Per FINRA Rule 3280,</w:t>
      </w:r>
      <w:r>
        <w:rPr>
          <w:rFonts w:ascii="Arial"/>
          <w:i/>
          <w:spacing w:val="-53"/>
        </w:rPr>
        <w:t xml:space="preserve"> </w:t>
      </w:r>
      <w:r>
        <w:rPr>
          <w:rFonts w:ascii="Arial"/>
          <w:i/>
        </w:rPr>
        <w:t>no person associated with PAD shall participate in any manner in a private securities transaction except in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accordance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Rule</w:t>
      </w:r>
      <w:r>
        <w:t>".</w:t>
      </w:r>
      <w:r>
        <w:rPr>
          <w:spacing w:val="-10"/>
        </w:rPr>
        <w:t xml:space="preserve"> </w:t>
      </w:r>
      <w:r>
        <w:t>IA</w:t>
      </w:r>
      <w:r>
        <w:rPr>
          <w:spacing w:val="-10"/>
        </w:rPr>
        <w:t xml:space="preserve"> </w:t>
      </w:r>
      <w:r>
        <w:t>noted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PAD</w:t>
      </w:r>
      <w:r>
        <w:rPr>
          <w:spacing w:val="-10"/>
        </w:rPr>
        <w:t xml:space="preserve"> </w:t>
      </w:r>
      <w:r>
        <w:t>SOP-3433</w:t>
      </w:r>
      <w:r>
        <w:rPr>
          <w:spacing w:val="-11"/>
        </w:rPr>
        <w:t xml:space="preserve"> </w:t>
      </w:r>
      <w:r>
        <w:t>PAD</w:t>
      </w:r>
      <w:r>
        <w:rPr>
          <w:spacing w:val="-10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Activities</w:t>
      </w:r>
      <w:r>
        <w:rPr>
          <w:spacing w:val="-54"/>
        </w:rPr>
        <w:t xml:space="preserve"> </w:t>
      </w:r>
      <w:r>
        <w:t>Compliance Procedure do not mention that PSTs are not allowed and/or the passive investments allowance and</w:t>
      </w:r>
      <w:r>
        <w:rPr>
          <w:spacing w:val="1"/>
        </w:rPr>
        <w:t xml:space="preserve"> </w:t>
      </w:r>
      <w:r>
        <w:t>requirements. Finally, the Supervisory Interview Checklist (SIC), a checklist that is used by supervisory principals</w:t>
      </w:r>
      <w:r>
        <w:rPr>
          <w:spacing w:val="-53"/>
        </w:rPr>
        <w:t xml:space="preserve"> </w:t>
      </w:r>
      <w:r>
        <w:t>that contain talking points to have with external wholesaler RRs to remind them of their responsibilities, does not</w:t>
      </w:r>
      <w:r>
        <w:rPr>
          <w:spacing w:val="1"/>
        </w:rPr>
        <w:t xml:space="preserve"> </w:t>
      </w:r>
      <w:r>
        <w:t>include talking points regarding PSTs.</w:t>
      </w:r>
      <w:r>
        <w:rPr>
          <w:spacing w:val="1"/>
        </w:rPr>
        <w:t xml:space="preserve"> </w:t>
      </w:r>
      <w:r>
        <w:t>It should be noted that Management has already begun updating the</w:t>
      </w:r>
      <w:r>
        <w:rPr>
          <w:spacing w:val="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procedures.</w:t>
      </w:r>
    </w:p>
    <w:p w14:paraId="4EC66FC2" w14:textId="77777777" w:rsidR="00311003" w:rsidRDefault="00311003">
      <w:pPr>
        <w:pStyle w:val="BodyText"/>
        <w:spacing w:before="4"/>
        <w:rPr>
          <w:sz w:val="30"/>
        </w:rPr>
      </w:pPr>
    </w:p>
    <w:p w14:paraId="2DBA5353" w14:textId="77777777" w:rsidR="00311003" w:rsidRDefault="00000000">
      <w:pPr>
        <w:pStyle w:val="BodyText"/>
        <w:spacing w:before="1"/>
        <w:ind w:left="166" w:right="194" w:hanging="11"/>
        <w:jc w:val="both"/>
      </w:pPr>
      <w:r>
        <w:rPr>
          <w:color w:val="1E487C"/>
        </w:rPr>
        <w:t>Root Cause Explanation:</w:t>
      </w:r>
      <w:r>
        <w:rPr>
          <w:color w:val="1E487C"/>
          <w:spacing w:val="1"/>
        </w:rPr>
        <w:t xml:space="preserve"> </w:t>
      </w:r>
      <w:r>
        <w:t>The root causes are primarily attributable to the overreliance of self-disclosure by RRs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discrepancies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on-going</w:t>
      </w:r>
      <w:r>
        <w:rPr>
          <w:spacing w:val="-2"/>
        </w:rPr>
        <w:t xml:space="preserve"> </w:t>
      </w:r>
      <w:r>
        <w:t>OBA</w:t>
      </w:r>
      <w:r>
        <w:rPr>
          <w:spacing w:val="-3"/>
        </w:rPr>
        <w:t xml:space="preserve"> </w:t>
      </w:r>
      <w:r>
        <w:t>recertifications</w:t>
      </w:r>
      <w:r>
        <w:rPr>
          <w:spacing w:val="-5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firm-wide</w:t>
      </w:r>
      <w:r>
        <w:rPr>
          <w:spacing w:val="-2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 consider</w:t>
      </w:r>
      <w:r>
        <w:rPr>
          <w:spacing w:val="-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impacts.</w:t>
      </w:r>
    </w:p>
    <w:p w14:paraId="601B5591" w14:textId="77777777" w:rsidR="00311003" w:rsidRDefault="00311003">
      <w:pPr>
        <w:pStyle w:val="BodyText"/>
        <w:spacing w:before="5"/>
        <w:rPr>
          <w:sz w:val="30"/>
        </w:rPr>
      </w:pPr>
    </w:p>
    <w:p w14:paraId="13AE8148" w14:textId="77777777" w:rsidR="00311003" w:rsidRDefault="00000000">
      <w:pPr>
        <w:pStyle w:val="BodyText"/>
        <w:ind w:left="166" w:right="194" w:hanging="11"/>
        <w:jc w:val="both"/>
      </w:pPr>
      <w:r>
        <w:rPr>
          <w:color w:val="1E487C"/>
          <w:spacing w:val="-1"/>
        </w:rPr>
        <w:t>Rating</w:t>
      </w:r>
      <w:r>
        <w:rPr>
          <w:color w:val="1E487C"/>
          <w:spacing w:val="-13"/>
        </w:rPr>
        <w:t xml:space="preserve"> </w:t>
      </w:r>
      <w:r>
        <w:rPr>
          <w:color w:val="1E487C"/>
          <w:spacing w:val="-1"/>
        </w:rPr>
        <w:t>Rationale:</w:t>
      </w:r>
      <w:r>
        <w:rPr>
          <w:color w:val="1E487C"/>
          <w:spacing w:val="24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inadequate</w:t>
      </w:r>
      <w:r>
        <w:rPr>
          <w:spacing w:val="-1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supervise</w:t>
      </w:r>
      <w:r>
        <w:rPr>
          <w:spacing w:val="-10"/>
        </w:rPr>
        <w:t xml:space="preserve"> </w:t>
      </w:r>
      <w:r>
        <w:t>OBAs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PSTs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management’s</w:t>
      </w:r>
      <w:r>
        <w:rPr>
          <w:spacing w:val="-54"/>
        </w:rPr>
        <w:t xml:space="preserve"> </w:t>
      </w:r>
      <w:r>
        <w:t>inability to maintain accurate and readily accessible books and records exposes PAD to the risk that its RRs and</w:t>
      </w:r>
      <w:r>
        <w:rPr>
          <w:spacing w:val="1"/>
        </w:rPr>
        <w:t xml:space="preserve"> </w:t>
      </w:r>
      <w:r>
        <w:t>associated persons could have been engaging in activities that conflict with PAD’s interests and / or violate PAD</w:t>
      </w:r>
      <w:r>
        <w:rPr>
          <w:spacing w:val="1"/>
        </w:rPr>
        <w:t xml:space="preserve"> </w:t>
      </w:r>
      <w:r>
        <w:t>policies. Additionally, these control gaps could lead to non-compliance with FINRA regulatory requirements,</w:t>
      </w:r>
      <w:r>
        <w:rPr>
          <w:spacing w:val="1"/>
        </w:rPr>
        <w:t xml:space="preserve"> </w:t>
      </w:r>
      <w:r>
        <w:t>potentially exposing PAD to regulatory scrutiny. FINRA has and continues to identify challenges regarding firms’</w:t>
      </w:r>
      <w:r>
        <w:rPr>
          <w:spacing w:val="1"/>
        </w:rPr>
        <w:t xml:space="preserve"> </w:t>
      </w:r>
      <w:r>
        <w:t>OBA and PST practices within the industry. At the time of this audit, there were 256 and 11 active OBAs and</w:t>
      </w:r>
      <w:r>
        <w:rPr>
          <w:spacing w:val="1"/>
        </w:rPr>
        <w:t xml:space="preserve"> </w:t>
      </w:r>
      <w:r>
        <w:t>personal investments in private securities transactions, respectively. However, most Registered Representatives</w:t>
      </w:r>
      <w:r>
        <w:rPr>
          <w:spacing w:val="1"/>
        </w:rPr>
        <w:t xml:space="preserve"> </w:t>
      </w:r>
      <w:r>
        <w:t>(RRs)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thereby</w:t>
      </w:r>
      <w:r>
        <w:rPr>
          <w:spacing w:val="-6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moderate.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such,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rated</w:t>
      </w:r>
      <w:r>
        <w:rPr>
          <w:spacing w:val="-53"/>
        </w:rPr>
        <w:t xml:space="preserve"> </w:t>
      </w:r>
      <w:proofErr w:type="gramStart"/>
      <w:r>
        <w:t>Medium</w:t>
      </w:r>
      <w:proofErr w:type="gramEnd"/>
      <w:r>
        <w:rPr>
          <w:spacing w:val="-2"/>
        </w:rPr>
        <w:t xml:space="preserve"> </w:t>
      </w:r>
      <w:r>
        <w:t>risk.</w:t>
      </w:r>
    </w:p>
    <w:p w14:paraId="28A26653" w14:textId="77777777" w:rsidR="00311003" w:rsidRDefault="00311003">
      <w:pPr>
        <w:pStyle w:val="BodyText"/>
        <w:spacing w:before="5"/>
        <w:rPr>
          <w:sz w:val="30"/>
        </w:rPr>
      </w:pPr>
    </w:p>
    <w:p w14:paraId="793C3658" w14:textId="77777777" w:rsidR="00311003" w:rsidRDefault="00000000">
      <w:pPr>
        <w:pStyle w:val="BodyText"/>
        <w:spacing w:before="1"/>
        <w:ind w:left="155"/>
        <w:jc w:val="both"/>
      </w:pP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51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Compliance</w:t>
      </w:r>
    </w:p>
    <w:p w14:paraId="15FDD704" w14:textId="77777777" w:rsidR="00311003" w:rsidRDefault="00311003">
      <w:pPr>
        <w:pStyle w:val="BodyText"/>
        <w:spacing w:before="4"/>
        <w:rPr>
          <w:sz w:val="30"/>
        </w:rPr>
      </w:pPr>
    </w:p>
    <w:p w14:paraId="462E7078" w14:textId="77777777" w:rsidR="00311003" w:rsidRDefault="00000000">
      <w:pPr>
        <w:pStyle w:val="BodyText"/>
        <w:tabs>
          <w:tab w:val="left" w:pos="5839"/>
        </w:tabs>
        <w:ind w:left="166"/>
        <w:jc w:val="both"/>
      </w:pPr>
      <w:r>
        <w:rPr>
          <w:color w:val="1E487C"/>
        </w:rPr>
        <w:t>Issue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52"/>
        </w:rPr>
        <w:t xml:space="preserve"> </w:t>
      </w:r>
      <w:r>
        <w:t>Medium</w:t>
      </w:r>
      <w:r>
        <w:tab/>
      </w:r>
      <w:r>
        <w:rPr>
          <w:color w:val="1E487C"/>
        </w:rPr>
        <w:t>Repeat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51"/>
        </w:rPr>
        <w:t xml:space="preserve"> </w:t>
      </w:r>
      <w:r>
        <w:rPr>
          <w:color w:val="1E487C"/>
        </w:rPr>
        <w:t>No</w:t>
      </w:r>
    </w:p>
    <w:p w14:paraId="7E9D9863" w14:textId="77777777" w:rsidR="00311003" w:rsidRDefault="00000000">
      <w:pPr>
        <w:tabs>
          <w:tab w:val="left" w:pos="5839"/>
        </w:tabs>
        <w:spacing w:before="61"/>
        <w:ind w:left="166"/>
        <w:jc w:val="both"/>
        <w:rPr>
          <w:sz w:val="18"/>
        </w:rPr>
      </w:pPr>
      <w:r>
        <w:rPr>
          <w:color w:val="1E487C"/>
          <w:sz w:val="20"/>
        </w:rPr>
        <w:t>Status:</w:t>
      </w:r>
      <w:r>
        <w:rPr>
          <w:color w:val="1E487C"/>
          <w:spacing w:val="51"/>
          <w:sz w:val="20"/>
        </w:rPr>
        <w:t xml:space="preserve"> </w:t>
      </w:r>
      <w:r>
        <w:rPr>
          <w:sz w:val="20"/>
        </w:rPr>
        <w:t>Open</w:t>
      </w:r>
      <w:r>
        <w:rPr>
          <w:sz w:val="20"/>
        </w:rPr>
        <w:tab/>
      </w:r>
      <w:r>
        <w:rPr>
          <w:color w:val="1E487C"/>
          <w:sz w:val="20"/>
        </w:rPr>
        <w:t>Issue</w:t>
      </w:r>
      <w:r>
        <w:rPr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Target</w:t>
      </w:r>
      <w:r>
        <w:rPr>
          <w:color w:val="1E487C"/>
          <w:spacing w:val="-3"/>
          <w:sz w:val="20"/>
        </w:rPr>
        <w:t xml:space="preserve"> </w:t>
      </w:r>
      <w:r>
        <w:rPr>
          <w:color w:val="1E487C"/>
          <w:sz w:val="20"/>
        </w:rPr>
        <w:t>Date:</w:t>
      </w:r>
      <w:r>
        <w:rPr>
          <w:color w:val="1E487C"/>
          <w:spacing w:val="50"/>
          <w:sz w:val="20"/>
        </w:rPr>
        <w:t xml:space="preserve"> </w:t>
      </w:r>
      <w:r>
        <w:rPr>
          <w:sz w:val="18"/>
        </w:rPr>
        <w:t>10/31/2024</w:t>
      </w:r>
    </w:p>
    <w:p w14:paraId="7EEC0446" w14:textId="77777777" w:rsidR="00311003" w:rsidRDefault="00311003">
      <w:pPr>
        <w:pStyle w:val="BodyText"/>
        <w:spacing w:before="4"/>
        <w:rPr>
          <w:sz w:val="30"/>
        </w:rPr>
      </w:pPr>
    </w:p>
    <w:p w14:paraId="3F6CEA70" w14:textId="77777777" w:rsidR="00311003" w:rsidRDefault="00000000">
      <w:pPr>
        <w:pStyle w:val="BodyText"/>
        <w:spacing w:line="302" w:lineRule="auto"/>
        <w:ind w:left="155" w:right="5590"/>
        <w:jc w:val="both"/>
      </w:pPr>
      <w:r>
        <w:rPr>
          <w:color w:val="1E487C"/>
        </w:rPr>
        <w:t xml:space="preserve">Operating Division: </w:t>
      </w:r>
      <w:r>
        <w:t>USB-Individual Solutions Group</w:t>
      </w:r>
      <w:r>
        <w:rPr>
          <w:spacing w:val="1"/>
        </w:rPr>
        <w:t xml:space="preserve"> </w:t>
      </w:r>
      <w:r>
        <w:rPr>
          <w:color w:val="1E487C"/>
        </w:rPr>
        <w:t>Business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Group:</w:t>
      </w:r>
      <w:r>
        <w:rPr>
          <w:color w:val="1E487C"/>
          <w:spacing w:val="55"/>
        </w:rPr>
        <w:t xml:space="preserve"> </w:t>
      </w:r>
      <w:r>
        <w:t>Annuities</w:t>
      </w:r>
    </w:p>
    <w:p w14:paraId="506AB203" w14:textId="77777777" w:rsidR="00311003" w:rsidRDefault="00000000">
      <w:pPr>
        <w:pStyle w:val="BodyText"/>
        <w:ind w:left="155"/>
        <w:jc w:val="both"/>
      </w:pPr>
      <w:r>
        <w:rPr>
          <w:color w:val="1E487C"/>
        </w:rPr>
        <w:t>Reportable</w:t>
      </w:r>
      <w:r>
        <w:rPr>
          <w:color w:val="1E487C"/>
          <w:spacing w:val="-5"/>
        </w:rPr>
        <w:t xml:space="preserve"> </w:t>
      </w:r>
      <w:r>
        <w:rPr>
          <w:color w:val="1E487C"/>
        </w:rPr>
        <w:t>Segment:</w:t>
      </w:r>
      <w:r>
        <w:rPr>
          <w:color w:val="1E487C"/>
          <w:spacing w:val="47"/>
        </w:rPr>
        <w:t xml:space="preserve"> </w:t>
      </w:r>
      <w:r>
        <w:t>Ann-Sales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Distribution</w:t>
      </w:r>
    </w:p>
    <w:p w14:paraId="283C0970" w14:textId="77777777" w:rsidR="00311003" w:rsidRDefault="00000000">
      <w:pPr>
        <w:pStyle w:val="BodyText"/>
        <w:spacing w:before="10"/>
        <w:rPr>
          <w:sz w:val="21"/>
        </w:rPr>
      </w:pPr>
      <w:r>
        <w:pict w14:anchorId="3619B093">
          <v:shape id="_x0000_s2053" type="#_x0000_t202" style="position:absolute;margin-left:55.65pt;margin-top:15.3pt;width:502.35pt;height:43.9pt;z-index:-15728128;mso-wrap-distance-left:0;mso-wrap-distance-right:0;mso-position-horizontal-relative:page" fillcolor="#e0e9f4" strokecolor="#375c8a" strokeweight="1.5pt">
            <v:textbox inset="0,0,0,0">
              <w:txbxContent>
                <w:p w14:paraId="3D34ED0E" w14:textId="77777777" w:rsidR="00311003" w:rsidRDefault="00000000">
                  <w:pPr>
                    <w:spacing w:before="61"/>
                    <w:ind w:left="135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Plan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color w:val="1E487C"/>
                      <w:spacing w:val="5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AC-001567</w:t>
                  </w:r>
                </w:p>
                <w:p w14:paraId="32770183" w14:textId="77777777" w:rsidR="00311003" w:rsidRDefault="00000000">
                  <w:pPr>
                    <w:spacing w:before="59"/>
                    <w:ind w:left="135"/>
                    <w:rPr>
                      <w:sz w:val="18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 Plan Description</w:t>
                  </w:r>
                  <w:r>
                    <w:rPr>
                      <w:color w:val="1E487C"/>
                      <w:sz w:val="20"/>
                    </w:rPr>
                    <w:t xml:space="preserve">: </w:t>
                  </w:r>
                  <w:r>
                    <w:rPr>
                      <w:sz w:val="18"/>
                    </w:rPr>
                    <w:t>As part of the broader BD books and records initiative, locate and retain relevant historical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easily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accessible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location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identify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new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location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additional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book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source.</w:t>
                  </w:r>
                </w:p>
              </w:txbxContent>
            </v:textbox>
            <w10:wrap type="topAndBottom" anchorx="page"/>
          </v:shape>
        </w:pict>
      </w:r>
    </w:p>
    <w:p w14:paraId="2242DA31" w14:textId="77777777" w:rsidR="00311003" w:rsidRDefault="00311003">
      <w:pPr>
        <w:pStyle w:val="BodyText"/>
        <w:spacing w:before="3"/>
        <w:rPr>
          <w:sz w:val="3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4104"/>
        <w:gridCol w:w="2320"/>
      </w:tblGrid>
      <w:tr w:rsidR="00311003" w14:paraId="44A7C51A" w14:textId="77777777">
        <w:trPr>
          <w:trHeight w:val="286"/>
        </w:trPr>
        <w:tc>
          <w:tcPr>
            <w:tcW w:w="2365" w:type="dxa"/>
          </w:tcPr>
          <w:p w14:paraId="79B94EBB" w14:textId="77777777" w:rsidR="00311003" w:rsidRDefault="00000000">
            <w:pPr>
              <w:pStyle w:val="TableParagraph"/>
              <w:spacing w:line="224" w:lineRule="exact"/>
              <w:ind w:left="34" w:right="583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Owner:</w:t>
            </w:r>
          </w:p>
        </w:tc>
        <w:tc>
          <w:tcPr>
            <w:tcW w:w="4104" w:type="dxa"/>
          </w:tcPr>
          <w:p w14:paraId="550E6055" w14:textId="77777777" w:rsidR="00311003" w:rsidRDefault="00000000">
            <w:pPr>
              <w:pStyle w:val="TableParagraph"/>
              <w:spacing w:line="224" w:lineRule="exact"/>
              <w:ind w:left="584" w:right="56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Closure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Target</w:t>
            </w:r>
            <w:r>
              <w:rPr>
                <w:color w:val="1E487C"/>
                <w:spacing w:val="-3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Date:</w:t>
            </w:r>
          </w:p>
        </w:tc>
        <w:tc>
          <w:tcPr>
            <w:tcW w:w="2320" w:type="dxa"/>
          </w:tcPr>
          <w:p w14:paraId="23927539" w14:textId="77777777" w:rsidR="00311003" w:rsidRDefault="00000000">
            <w:pPr>
              <w:pStyle w:val="TableParagraph"/>
              <w:spacing w:line="224" w:lineRule="exact"/>
              <w:ind w:right="3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Status:</w:t>
            </w:r>
          </w:p>
        </w:tc>
      </w:tr>
      <w:tr w:rsidR="00311003" w14:paraId="1C35C339" w14:textId="77777777">
        <w:trPr>
          <w:trHeight w:val="286"/>
        </w:trPr>
        <w:tc>
          <w:tcPr>
            <w:tcW w:w="2365" w:type="dxa"/>
          </w:tcPr>
          <w:p w14:paraId="73415587" w14:textId="77777777" w:rsidR="00311003" w:rsidRDefault="00000000">
            <w:pPr>
              <w:pStyle w:val="TableParagraph"/>
              <w:spacing w:before="56" w:line="210" w:lineRule="exact"/>
              <w:ind w:left="33" w:right="583"/>
              <w:rPr>
                <w:sz w:val="20"/>
              </w:rPr>
            </w:pPr>
            <w:r>
              <w:rPr>
                <w:sz w:val="20"/>
              </w:rPr>
              <w:t>Shane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McGrath</w:t>
            </w:r>
          </w:p>
        </w:tc>
        <w:tc>
          <w:tcPr>
            <w:tcW w:w="4104" w:type="dxa"/>
          </w:tcPr>
          <w:p w14:paraId="2C7B0924" w14:textId="77777777" w:rsidR="00311003" w:rsidRDefault="00000000">
            <w:pPr>
              <w:pStyle w:val="TableParagraph"/>
              <w:spacing w:before="56" w:line="210" w:lineRule="exact"/>
              <w:ind w:left="584" w:right="559"/>
              <w:rPr>
                <w:sz w:val="20"/>
              </w:rPr>
            </w:pPr>
            <w:r>
              <w:rPr>
                <w:sz w:val="20"/>
              </w:rPr>
              <w:t>9/1/2024</w:t>
            </w:r>
          </w:p>
        </w:tc>
        <w:tc>
          <w:tcPr>
            <w:tcW w:w="2320" w:type="dxa"/>
          </w:tcPr>
          <w:p w14:paraId="071A6F8A" w14:textId="77777777" w:rsidR="00311003" w:rsidRDefault="00000000">
            <w:pPr>
              <w:pStyle w:val="TableParagraph"/>
              <w:spacing w:before="56" w:line="210" w:lineRule="exact"/>
              <w:ind w:right="29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558F1D20" w14:textId="77777777" w:rsidR="00311003" w:rsidRDefault="00311003">
      <w:pPr>
        <w:spacing w:line="210" w:lineRule="exact"/>
        <w:rPr>
          <w:sz w:val="20"/>
        </w:rPr>
        <w:sectPr w:rsidR="00311003">
          <w:pgSz w:w="12240" w:h="15840"/>
          <w:pgMar w:top="2440" w:right="880" w:bottom="1560" w:left="1000" w:header="720" w:footer="1379" w:gutter="0"/>
          <w:cols w:space="720"/>
        </w:sectPr>
      </w:pPr>
    </w:p>
    <w:p w14:paraId="6E5D3009" w14:textId="77777777" w:rsidR="00311003" w:rsidRDefault="00311003">
      <w:pPr>
        <w:pStyle w:val="BodyText"/>
      </w:pPr>
    </w:p>
    <w:p w14:paraId="0808BA31" w14:textId="77777777" w:rsidR="00311003" w:rsidRDefault="00311003">
      <w:pPr>
        <w:pStyle w:val="BodyText"/>
        <w:spacing w:before="3"/>
        <w:rPr>
          <w:sz w:val="25"/>
        </w:rPr>
      </w:pPr>
    </w:p>
    <w:p w14:paraId="51DB9316" w14:textId="77777777" w:rsidR="00311003" w:rsidRDefault="00000000">
      <w:pPr>
        <w:pStyle w:val="BodyText"/>
        <w:ind w:left="98"/>
      </w:pPr>
      <w:r>
        <w:rPr>
          <w:position w:val="-1"/>
        </w:rPr>
      </w:r>
      <w:r>
        <w:rPr>
          <w:position w:val="-1"/>
        </w:rPr>
        <w:pict w14:anchorId="61BF51AC">
          <v:shape id="_x0000_s2052" type="#_x0000_t202" style="width:502.35pt;height:43.9pt;mso-left-percent:-10001;mso-top-percent:-10001;mso-position-horizontal:absolute;mso-position-horizontal-relative:char;mso-position-vertical:absolute;mso-position-vertical-relative:line;mso-left-percent:-10001;mso-top-percent:-10001" fillcolor="#e0e9f4" strokecolor="#375c8a" strokeweight="1.5pt">
            <v:textbox inset="0,0,0,0">
              <w:txbxContent>
                <w:p w14:paraId="7FB26426" w14:textId="77777777" w:rsidR="00311003" w:rsidRDefault="00000000">
                  <w:pPr>
                    <w:spacing w:before="61"/>
                    <w:ind w:left="135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Plan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color w:val="1E487C"/>
                      <w:spacing w:val="5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AC-001568</w:t>
                  </w:r>
                </w:p>
                <w:p w14:paraId="79B9130B" w14:textId="77777777" w:rsidR="00311003" w:rsidRDefault="00000000">
                  <w:pPr>
                    <w:spacing w:before="59"/>
                    <w:ind w:left="135"/>
                    <w:rPr>
                      <w:sz w:val="18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 Plan Description</w:t>
                  </w:r>
                  <w:r>
                    <w:rPr>
                      <w:color w:val="1E487C"/>
                      <w:sz w:val="20"/>
                    </w:rPr>
                    <w:t xml:space="preserve">: </w:t>
                  </w:r>
                  <w:r>
                    <w:rPr>
                      <w:sz w:val="18"/>
                    </w:rPr>
                    <w:t>In conjunction with Compliance, implement on a periodic basis a reconciliation control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ensure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that internal records on OBA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match that of FINRA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Form U4 records.</w:t>
                  </w:r>
                </w:p>
              </w:txbxContent>
            </v:textbox>
            <w10:anchorlock/>
          </v:shape>
        </w:pict>
      </w:r>
    </w:p>
    <w:p w14:paraId="6FA6900D" w14:textId="77777777" w:rsidR="00311003" w:rsidRDefault="00311003">
      <w:pPr>
        <w:pStyle w:val="BodyText"/>
        <w:spacing w:before="9"/>
        <w:rPr>
          <w:sz w:val="3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4104"/>
        <w:gridCol w:w="2320"/>
      </w:tblGrid>
      <w:tr w:rsidR="00311003" w14:paraId="52619259" w14:textId="77777777">
        <w:trPr>
          <w:trHeight w:val="286"/>
        </w:trPr>
        <w:tc>
          <w:tcPr>
            <w:tcW w:w="2365" w:type="dxa"/>
          </w:tcPr>
          <w:p w14:paraId="63F1337D" w14:textId="77777777" w:rsidR="00311003" w:rsidRDefault="00000000">
            <w:pPr>
              <w:pStyle w:val="TableParagraph"/>
              <w:spacing w:line="224" w:lineRule="exact"/>
              <w:ind w:left="50"/>
              <w:jc w:val="left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Owner:</w:t>
            </w:r>
          </w:p>
        </w:tc>
        <w:tc>
          <w:tcPr>
            <w:tcW w:w="4104" w:type="dxa"/>
          </w:tcPr>
          <w:p w14:paraId="37512A7D" w14:textId="77777777" w:rsidR="00311003" w:rsidRDefault="00000000">
            <w:pPr>
              <w:pStyle w:val="TableParagraph"/>
              <w:spacing w:line="224" w:lineRule="exact"/>
              <w:ind w:left="584" w:right="56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Closure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Target</w:t>
            </w:r>
            <w:r>
              <w:rPr>
                <w:color w:val="1E487C"/>
                <w:spacing w:val="-3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Date:</w:t>
            </w:r>
          </w:p>
        </w:tc>
        <w:tc>
          <w:tcPr>
            <w:tcW w:w="2320" w:type="dxa"/>
          </w:tcPr>
          <w:p w14:paraId="3FD7BC5A" w14:textId="77777777" w:rsidR="00311003" w:rsidRDefault="00000000">
            <w:pPr>
              <w:pStyle w:val="TableParagraph"/>
              <w:spacing w:line="224" w:lineRule="exact"/>
              <w:ind w:right="3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Status:</w:t>
            </w:r>
          </w:p>
        </w:tc>
      </w:tr>
      <w:tr w:rsidR="00311003" w14:paraId="005967D9" w14:textId="77777777">
        <w:trPr>
          <w:trHeight w:val="286"/>
        </w:trPr>
        <w:tc>
          <w:tcPr>
            <w:tcW w:w="2365" w:type="dxa"/>
          </w:tcPr>
          <w:p w14:paraId="04384F61" w14:textId="77777777" w:rsidR="00311003" w:rsidRDefault="00000000">
            <w:pPr>
              <w:pStyle w:val="TableParagraph"/>
              <w:spacing w:before="56" w:line="210" w:lineRule="exact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Christina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Hartnett</w:t>
            </w:r>
          </w:p>
        </w:tc>
        <w:tc>
          <w:tcPr>
            <w:tcW w:w="4104" w:type="dxa"/>
          </w:tcPr>
          <w:p w14:paraId="7F49F70E" w14:textId="77777777" w:rsidR="00311003" w:rsidRDefault="00000000">
            <w:pPr>
              <w:pStyle w:val="TableParagraph"/>
              <w:spacing w:before="56" w:line="210" w:lineRule="exact"/>
              <w:ind w:left="584" w:right="561"/>
              <w:rPr>
                <w:sz w:val="20"/>
              </w:rPr>
            </w:pPr>
            <w:r>
              <w:rPr>
                <w:sz w:val="20"/>
              </w:rPr>
              <w:t>6/1/2024</w:t>
            </w:r>
          </w:p>
        </w:tc>
        <w:tc>
          <w:tcPr>
            <w:tcW w:w="2320" w:type="dxa"/>
          </w:tcPr>
          <w:p w14:paraId="5397C47A" w14:textId="77777777" w:rsidR="00311003" w:rsidRDefault="00000000">
            <w:pPr>
              <w:pStyle w:val="TableParagraph"/>
              <w:spacing w:before="56" w:line="210" w:lineRule="exact"/>
              <w:ind w:right="3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00F1960D" w14:textId="77777777" w:rsidR="00311003" w:rsidRDefault="00311003">
      <w:pPr>
        <w:pStyle w:val="BodyText"/>
      </w:pPr>
    </w:p>
    <w:p w14:paraId="4F161643" w14:textId="77777777" w:rsidR="00311003" w:rsidRDefault="00000000">
      <w:pPr>
        <w:pStyle w:val="BodyText"/>
        <w:spacing w:before="2"/>
        <w:rPr>
          <w:sz w:val="12"/>
        </w:rPr>
      </w:pPr>
      <w:r>
        <w:pict w14:anchorId="03AD24C8">
          <v:shape id="_x0000_s2051" type="#_x0000_t202" style="position:absolute;margin-left:55.65pt;margin-top:9.7pt;width:502.35pt;height:43.9pt;z-index:-15727104;mso-wrap-distance-left:0;mso-wrap-distance-right:0;mso-position-horizontal-relative:page" fillcolor="#e0e9f4" strokecolor="#375c8a" strokeweight="1.5pt">
            <v:textbox inset="0,0,0,0">
              <w:txbxContent>
                <w:p w14:paraId="7AE6975D" w14:textId="77777777" w:rsidR="00311003" w:rsidRDefault="00000000">
                  <w:pPr>
                    <w:spacing w:before="61"/>
                    <w:ind w:left="135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Plan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color w:val="1E487C"/>
                      <w:spacing w:val="51"/>
                      <w:sz w:val="20"/>
                    </w:rPr>
                    <w:t xml:space="preserve"> </w:t>
                  </w:r>
                  <w:r>
                    <w:rPr>
                      <w:color w:val="1E487C"/>
                      <w:sz w:val="20"/>
                    </w:rPr>
                    <w:t>AC-001569</w:t>
                  </w:r>
                </w:p>
                <w:p w14:paraId="7B49B6AE" w14:textId="77777777" w:rsidR="00311003" w:rsidRDefault="00000000">
                  <w:pPr>
                    <w:spacing w:before="60"/>
                    <w:ind w:left="135"/>
                    <w:rPr>
                      <w:sz w:val="18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 Plan Description</w:t>
                  </w:r>
                  <w:r>
                    <w:rPr>
                      <w:color w:val="1E487C"/>
                      <w:sz w:val="20"/>
                    </w:rPr>
                    <w:t xml:space="preserve">: </w:t>
                  </w:r>
                  <w:r>
                    <w:rPr>
                      <w:sz w:val="18"/>
                    </w:rPr>
                    <w:t>In conjunction with Compliance, explore and potentially implement various monitoring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techniques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 help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independently validate undisclosed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OBA.</w:t>
                  </w:r>
                </w:p>
              </w:txbxContent>
            </v:textbox>
            <w10:wrap type="topAndBottom" anchorx="page"/>
          </v:shape>
        </w:pict>
      </w:r>
    </w:p>
    <w:p w14:paraId="1D60F0A1" w14:textId="77777777" w:rsidR="00311003" w:rsidRDefault="00311003">
      <w:pPr>
        <w:pStyle w:val="BodyText"/>
        <w:spacing w:before="3"/>
        <w:rPr>
          <w:sz w:val="3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4104"/>
        <w:gridCol w:w="2320"/>
      </w:tblGrid>
      <w:tr w:rsidR="00311003" w14:paraId="043F0034" w14:textId="77777777">
        <w:trPr>
          <w:trHeight w:val="287"/>
        </w:trPr>
        <w:tc>
          <w:tcPr>
            <w:tcW w:w="2365" w:type="dxa"/>
          </w:tcPr>
          <w:p w14:paraId="2AFC18F2" w14:textId="77777777" w:rsidR="00311003" w:rsidRDefault="00000000">
            <w:pPr>
              <w:pStyle w:val="TableParagraph"/>
              <w:spacing w:line="224" w:lineRule="exact"/>
              <w:ind w:left="50"/>
              <w:jc w:val="left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Owner:</w:t>
            </w:r>
          </w:p>
        </w:tc>
        <w:tc>
          <w:tcPr>
            <w:tcW w:w="4104" w:type="dxa"/>
          </w:tcPr>
          <w:p w14:paraId="2455C831" w14:textId="77777777" w:rsidR="00311003" w:rsidRDefault="00000000">
            <w:pPr>
              <w:pStyle w:val="TableParagraph"/>
              <w:spacing w:line="224" w:lineRule="exact"/>
              <w:ind w:left="584" w:right="56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Closure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Target</w:t>
            </w:r>
            <w:r>
              <w:rPr>
                <w:color w:val="1E487C"/>
                <w:spacing w:val="-3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Date:</w:t>
            </w:r>
          </w:p>
        </w:tc>
        <w:tc>
          <w:tcPr>
            <w:tcW w:w="2320" w:type="dxa"/>
          </w:tcPr>
          <w:p w14:paraId="09EDD632" w14:textId="77777777" w:rsidR="00311003" w:rsidRDefault="00000000">
            <w:pPr>
              <w:pStyle w:val="TableParagraph"/>
              <w:spacing w:line="224" w:lineRule="exact"/>
              <w:ind w:right="3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Status:</w:t>
            </w:r>
          </w:p>
        </w:tc>
      </w:tr>
      <w:tr w:rsidR="00311003" w14:paraId="49809BE1" w14:textId="77777777">
        <w:trPr>
          <w:trHeight w:val="287"/>
        </w:trPr>
        <w:tc>
          <w:tcPr>
            <w:tcW w:w="2365" w:type="dxa"/>
          </w:tcPr>
          <w:p w14:paraId="7FF77BAA" w14:textId="77777777" w:rsidR="00311003" w:rsidRDefault="00000000">
            <w:pPr>
              <w:pStyle w:val="TableParagraph"/>
              <w:spacing w:before="57" w:line="210" w:lineRule="exact"/>
              <w:ind w:left="128"/>
              <w:jc w:val="left"/>
              <w:rPr>
                <w:sz w:val="20"/>
              </w:rPr>
            </w:pPr>
            <w:r>
              <w:rPr>
                <w:sz w:val="20"/>
              </w:rPr>
              <w:t>Christina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Hartnett</w:t>
            </w:r>
          </w:p>
        </w:tc>
        <w:tc>
          <w:tcPr>
            <w:tcW w:w="4104" w:type="dxa"/>
          </w:tcPr>
          <w:p w14:paraId="5450327A" w14:textId="77777777" w:rsidR="00311003" w:rsidRDefault="00000000">
            <w:pPr>
              <w:pStyle w:val="TableParagraph"/>
              <w:spacing w:before="57" w:line="210" w:lineRule="exact"/>
              <w:ind w:left="584" w:right="561"/>
              <w:rPr>
                <w:sz w:val="20"/>
              </w:rPr>
            </w:pPr>
            <w:r>
              <w:rPr>
                <w:sz w:val="20"/>
              </w:rPr>
              <w:t>6/1/2024</w:t>
            </w:r>
          </w:p>
        </w:tc>
        <w:tc>
          <w:tcPr>
            <w:tcW w:w="2320" w:type="dxa"/>
          </w:tcPr>
          <w:p w14:paraId="23AD46C4" w14:textId="77777777" w:rsidR="00311003" w:rsidRDefault="00000000">
            <w:pPr>
              <w:pStyle w:val="TableParagraph"/>
              <w:spacing w:before="57" w:line="210" w:lineRule="exact"/>
              <w:ind w:right="3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65E8D5EF" w14:textId="77777777" w:rsidR="00311003" w:rsidRDefault="00311003">
      <w:pPr>
        <w:pStyle w:val="BodyText"/>
      </w:pPr>
    </w:p>
    <w:p w14:paraId="306431CE" w14:textId="77777777" w:rsidR="00311003" w:rsidRDefault="00000000">
      <w:pPr>
        <w:pStyle w:val="BodyText"/>
        <w:spacing w:before="11"/>
        <w:rPr>
          <w:sz w:val="23"/>
        </w:rPr>
      </w:pPr>
      <w:r>
        <w:pict w14:anchorId="2468B259">
          <v:shape id="_x0000_s2050" type="#_x0000_t202" style="position:absolute;margin-left:55.65pt;margin-top:16.5pt;width:502.35pt;height:43.8pt;z-index:-15726592;mso-wrap-distance-left:0;mso-wrap-distance-right:0;mso-position-horizontal-relative:page" fillcolor="#e0e9f4" strokecolor="#375c8a" strokeweight="1.5pt">
            <v:textbox inset="0,0,0,0">
              <w:txbxContent>
                <w:p w14:paraId="44DA9E39" w14:textId="77777777" w:rsidR="00311003" w:rsidRDefault="00000000">
                  <w:pPr>
                    <w:spacing w:before="61"/>
                    <w:ind w:left="135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Plan</w:t>
                  </w:r>
                  <w:r>
                    <w:rPr>
                      <w:rFonts w:ascii="Arial"/>
                      <w:b/>
                      <w:color w:val="1E487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E487C"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color w:val="1E487C"/>
                      <w:spacing w:val="5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AC-001570</w:t>
                  </w:r>
                </w:p>
                <w:p w14:paraId="11F4D377" w14:textId="77777777" w:rsidR="00311003" w:rsidRDefault="00000000">
                  <w:pPr>
                    <w:spacing w:before="59"/>
                    <w:ind w:left="135"/>
                    <w:rPr>
                      <w:sz w:val="18"/>
                    </w:rPr>
                  </w:pPr>
                  <w:r>
                    <w:rPr>
                      <w:rFonts w:ascii="Arial"/>
                      <w:b/>
                      <w:color w:val="1E487C"/>
                      <w:sz w:val="20"/>
                    </w:rPr>
                    <w:t>Action Plan Description</w:t>
                  </w:r>
                  <w:r>
                    <w:rPr>
                      <w:color w:val="1E487C"/>
                      <w:sz w:val="20"/>
                    </w:rPr>
                    <w:t>:</w:t>
                  </w:r>
                  <w:r>
                    <w:rPr>
                      <w:color w:val="1E487C"/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18"/>
                    </w:rPr>
                    <w:t>Update relevant WSPs and Compliance manuals to be clear, consistent, and accurate to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reflect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current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processes.</w:t>
                  </w:r>
                </w:p>
              </w:txbxContent>
            </v:textbox>
            <w10:wrap type="topAndBottom" anchorx="page"/>
          </v:shape>
        </w:pict>
      </w:r>
    </w:p>
    <w:p w14:paraId="0ED7689B" w14:textId="77777777" w:rsidR="00311003" w:rsidRDefault="00311003">
      <w:pPr>
        <w:pStyle w:val="BodyText"/>
        <w:spacing w:before="3"/>
        <w:rPr>
          <w:sz w:val="3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4104"/>
        <w:gridCol w:w="2320"/>
      </w:tblGrid>
      <w:tr w:rsidR="00311003" w14:paraId="2D6D80A3" w14:textId="77777777">
        <w:trPr>
          <w:trHeight w:val="287"/>
        </w:trPr>
        <w:tc>
          <w:tcPr>
            <w:tcW w:w="2365" w:type="dxa"/>
          </w:tcPr>
          <w:p w14:paraId="78D4C1B2" w14:textId="77777777" w:rsidR="00311003" w:rsidRDefault="00000000">
            <w:pPr>
              <w:pStyle w:val="TableParagraph"/>
              <w:spacing w:line="224" w:lineRule="exact"/>
              <w:ind w:left="34" w:right="583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Owner:</w:t>
            </w:r>
          </w:p>
        </w:tc>
        <w:tc>
          <w:tcPr>
            <w:tcW w:w="4104" w:type="dxa"/>
          </w:tcPr>
          <w:p w14:paraId="1517BD22" w14:textId="77777777" w:rsidR="00311003" w:rsidRDefault="00000000">
            <w:pPr>
              <w:pStyle w:val="TableParagraph"/>
              <w:spacing w:line="224" w:lineRule="exact"/>
              <w:ind w:left="584" w:right="56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2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Closure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Target</w:t>
            </w:r>
            <w:r>
              <w:rPr>
                <w:color w:val="1E487C"/>
                <w:spacing w:val="-3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Date:</w:t>
            </w:r>
          </w:p>
        </w:tc>
        <w:tc>
          <w:tcPr>
            <w:tcW w:w="2320" w:type="dxa"/>
          </w:tcPr>
          <w:p w14:paraId="4ABF7161" w14:textId="77777777" w:rsidR="00311003" w:rsidRDefault="00000000">
            <w:pPr>
              <w:pStyle w:val="TableParagraph"/>
              <w:spacing w:line="224" w:lineRule="exact"/>
              <w:ind w:right="32"/>
              <w:rPr>
                <w:sz w:val="20"/>
              </w:rPr>
            </w:pPr>
            <w:r>
              <w:rPr>
                <w:color w:val="1E487C"/>
                <w:sz w:val="20"/>
              </w:rPr>
              <w:t>Action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Plan</w:t>
            </w:r>
            <w:r>
              <w:rPr>
                <w:color w:val="1E487C"/>
                <w:spacing w:val="-1"/>
                <w:sz w:val="20"/>
              </w:rPr>
              <w:t xml:space="preserve"> </w:t>
            </w:r>
            <w:r>
              <w:rPr>
                <w:color w:val="1E487C"/>
                <w:sz w:val="20"/>
              </w:rPr>
              <w:t>Status:</w:t>
            </w:r>
          </w:p>
        </w:tc>
      </w:tr>
      <w:tr w:rsidR="00311003" w14:paraId="641EC793" w14:textId="77777777">
        <w:trPr>
          <w:trHeight w:val="287"/>
        </w:trPr>
        <w:tc>
          <w:tcPr>
            <w:tcW w:w="2365" w:type="dxa"/>
          </w:tcPr>
          <w:p w14:paraId="5CECC45B" w14:textId="77777777" w:rsidR="00311003" w:rsidRDefault="00000000">
            <w:pPr>
              <w:pStyle w:val="TableParagraph"/>
              <w:spacing w:before="57" w:line="210" w:lineRule="exact"/>
              <w:ind w:left="33" w:right="583"/>
              <w:rPr>
                <w:sz w:val="20"/>
              </w:rPr>
            </w:pPr>
            <w:r>
              <w:rPr>
                <w:sz w:val="20"/>
              </w:rPr>
              <w:t>Shane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McGrath</w:t>
            </w:r>
          </w:p>
        </w:tc>
        <w:tc>
          <w:tcPr>
            <w:tcW w:w="4104" w:type="dxa"/>
          </w:tcPr>
          <w:p w14:paraId="0235BA6B" w14:textId="77777777" w:rsidR="00311003" w:rsidRDefault="00000000">
            <w:pPr>
              <w:pStyle w:val="TableParagraph"/>
              <w:spacing w:before="57" w:line="210" w:lineRule="exact"/>
              <w:ind w:left="584" w:right="559"/>
              <w:rPr>
                <w:sz w:val="20"/>
              </w:rPr>
            </w:pPr>
            <w:r>
              <w:rPr>
                <w:sz w:val="20"/>
              </w:rPr>
              <w:t>4/30/2024</w:t>
            </w:r>
          </w:p>
        </w:tc>
        <w:tc>
          <w:tcPr>
            <w:tcW w:w="2320" w:type="dxa"/>
          </w:tcPr>
          <w:p w14:paraId="623D48CD" w14:textId="77777777" w:rsidR="00311003" w:rsidRDefault="00000000">
            <w:pPr>
              <w:pStyle w:val="TableParagraph"/>
              <w:spacing w:before="57" w:line="210" w:lineRule="exact"/>
              <w:ind w:right="29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0BDB40DA" w14:textId="77777777" w:rsidR="006C5BA7" w:rsidRDefault="006C5BA7"/>
    <w:sectPr w:rsidR="006C5BA7">
      <w:pgSz w:w="12240" w:h="15840"/>
      <w:pgMar w:top="2440" w:right="880" w:bottom="1560" w:left="1000" w:header="720" w:footer="1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9A627" w14:textId="77777777" w:rsidR="006C5BA7" w:rsidRDefault="006C5BA7">
      <w:r>
        <w:separator/>
      </w:r>
    </w:p>
  </w:endnote>
  <w:endnote w:type="continuationSeparator" w:id="0">
    <w:p w14:paraId="05E35CA6" w14:textId="77777777" w:rsidR="006C5BA7" w:rsidRDefault="006C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ED38" w14:textId="77777777" w:rsidR="00311003" w:rsidRDefault="00000000">
    <w:pPr>
      <w:pStyle w:val="BodyText"/>
      <w:spacing w:line="14" w:lineRule="auto"/>
    </w:pPr>
    <w:r>
      <w:pict w14:anchorId="59F53C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5pt;margin-top:712.05pt;width:499.65pt;height:38.6pt;z-index:-15864320;mso-position-horizontal-relative:page;mso-position-vertical-relative:page" filled="f" stroked="f">
          <v:textbox inset="0,0,0,0">
            <w:txbxContent>
              <w:p w14:paraId="780FD876" w14:textId="77777777" w:rsidR="00311003" w:rsidRDefault="00000000">
                <w:pPr>
                  <w:spacing w:before="14" w:line="307" w:lineRule="auto"/>
                  <w:ind w:left="20" w:hanging="1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1E487C"/>
                    <w:sz w:val="18"/>
                  </w:rPr>
                  <w:t>This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report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is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confidential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and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not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distributed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anyone</w:t>
                </w:r>
                <w:r>
                  <w:rPr>
                    <w:rFonts w:ascii="Arial"/>
                    <w:i/>
                    <w:color w:val="1E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beyond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individuals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indicated.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Should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copies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of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this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report</w:t>
                </w:r>
                <w:r>
                  <w:rPr>
                    <w:rFonts w:ascii="Arial"/>
                    <w:i/>
                    <w:color w:val="1E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requested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by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any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employee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of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ABC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Company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or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subsidiaries,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request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should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referred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Internal</w:t>
                </w:r>
                <w:r>
                  <w:rPr>
                    <w:rFonts w:ascii="Arial"/>
                    <w:i/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Audit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Depart-</w:t>
                </w:r>
              </w:p>
              <w:p w14:paraId="12F01BE9" w14:textId="77777777" w:rsidR="00311003" w:rsidRDefault="00000000">
                <w:pPr>
                  <w:spacing w:before="1"/>
                  <w:ind w:left="20"/>
                  <w:rPr>
                    <w:rFonts w:ascii="Arial"/>
                    <w:i/>
                    <w:sz w:val="18"/>
                  </w:rPr>
                </w:pPr>
                <w:proofErr w:type="spellStart"/>
                <w:r>
                  <w:rPr>
                    <w:rFonts w:ascii="Arial"/>
                    <w:i/>
                    <w:color w:val="1E487C"/>
                    <w:sz w:val="18"/>
                  </w:rPr>
                  <w:t>ment</w:t>
                </w:r>
                <w:proofErr w:type="spellEnd"/>
                <w:r>
                  <w:rPr>
                    <w:rFonts w:ascii="Arial"/>
                    <w:i/>
                    <w:color w:val="1E487C"/>
                    <w:sz w:val="18"/>
                  </w:rPr>
                  <w:t>.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All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requests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by</w:t>
                </w:r>
                <w:r>
                  <w:rPr>
                    <w:rFonts w:ascii="Arial"/>
                    <w:i/>
                    <w:color w:val="1E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external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parties,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either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individual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or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regulatory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entity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should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referred</w:t>
                </w:r>
                <w:r>
                  <w:rPr>
                    <w:rFonts w:ascii="Arial"/>
                    <w:i/>
                    <w:color w:val="1E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Law</w:t>
                </w:r>
                <w:r>
                  <w:rPr>
                    <w:rFonts w:ascii="Arial"/>
                    <w:i/>
                    <w:color w:val="1E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E487C"/>
                    <w:sz w:val="18"/>
                  </w:rPr>
                  <w:t>Department.</w:t>
                </w:r>
              </w:p>
            </w:txbxContent>
          </v:textbox>
          <w10:wrap anchorx="page" anchory="page"/>
        </v:shape>
      </w:pict>
    </w:r>
    <w:r>
      <w:pict w14:anchorId="3025E988">
        <v:shape id="_x0000_s1025" type="#_x0000_t202" style="position:absolute;margin-left:295.6pt;margin-top:758.55pt;width:29.55pt;height:12.1pt;z-index:-15863808;mso-position-horizontal-relative:page;mso-position-vertical-relative:page" filled="f" stroked="f">
          <v:textbox inset="0,0,0,0">
            <w:txbxContent>
              <w:p w14:paraId="52B3A20A" w14:textId="77777777" w:rsidR="00311003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E14A1" w14:textId="77777777" w:rsidR="006C5BA7" w:rsidRDefault="006C5BA7">
      <w:r>
        <w:separator/>
      </w:r>
    </w:p>
  </w:footnote>
  <w:footnote w:type="continuationSeparator" w:id="0">
    <w:p w14:paraId="00010C40" w14:textId="77777777" w:rsidR="006C5BA7" w:rsidRDefault="006C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FADBE" w14:textId="77777777" w:rsidR="00311003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51648" behindDoc="1" locked="0" layoutInCell="1" allowOverlap="1" wp14:anchorId="7A522CC6" wp14:editId="5F4F7871">
          <wp:simplePos x="0" y="0"/>
          <wp:positionH relativeFrom="page">
            <wp:posOffset>731520</wp:posOffset>
          </wp:positionH>
          <wp:positionV relativeFrom="page">
            <wp:posOffset>457200</wp:posOffset>
          </wp:positionV>
          <wp:extent cx="6378237" cy="1096010"/>
          <wp:effectExtent l="0" t="0" r="3810" b="889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6405"/>
                  <a:stretch/>
                </pic:blipFill>
                <pic:spPr bwMode="auto">
                  <a:xfrm>
                    <a:off x="0" y="0"/>
                    <a:ext cx="6386516" cy="10974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360E"/>
    <w:multiLevelType w:val="hybridMultilevel"/>
    <w:tmpl w:val="0686BFBA"/>
    <w:lvl w:ilvl="0" w:tplc="EDA42CF2">
      <w:numFmt w:val="bullet"/>
      <w:lvlText w:val="•"/>
      <w:lvlJc w:val="left"/>
      <w:pPr>
        <w:ind w:left="620" w:hanging="27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3C88558">
      <w:numFmt w:val="bullet"/>
      <w:lvlText w:val="•"/>
      <w:lvlJc w:val="left"/>
      <w:pPr>
        <w:ind w:left="1594" w:hanging="271"/>
      </w:pPr>
      <w:rPr>
        <w:rFonts w:hint="default"/>
        <w:lang w:val="en-US" w:eastAsia="en-US" w:bidi="ar-SA"/>
      </w:rPr>
    </w:lvl>
    <w:lvl w:ilvl="2" w:tplc="0BBA442C">
      <w:numFmt w:val="bullet"/>
      <w:lvlText w:val="•"/>
      <w:lvlJc w:val="left"/>
      <w:pPr>
        <w:ind w:left="2568" w:hanging="271"/>
      </w:pPr>
      <w:rPr>
        <w:rFonts w:hint="default"/>
        <w:lang w:val="en-US" w:eastAsia="en-US" w:bidi="ar-SA"/>
      </w:rPr>
    </w:lvl>
    <w:lvl w:ilvl="3" w:tplc="A176C05C">
      <w:numFmt w:val="bullet"/>
      <w:lvlText w:val="•"/>
      <w:lvlJc w:val="left"/>
      <w:pPr>
        <w:ind w:left="3542" w:hanging="271"/>
      </w:pPr>
      <w:rPr>
        <w:rFonts w:hint="default"/>
        <w:lang w:val="en-US" w:eastAsia="en-US" w:bidi="ar-SA"/>
      </w:rPr>
    </w:lvl>
    <w:lvl w:ilvl="4" w:tplc="2A545092">
      <w:numFmt w:val="bullet"/>
      <w:lvlText w:val="•"/>
      <w:lvlJc w:val="left"/>
      <w:pPr>
        <w:ind w:left="4516" w:hanging="271"/>
      </w:pPr>
      <w:rPr>
        <w:rFonts w:hint="default"/>
        <w:lang w:val="en-US" w:eastAsia="en-US" w:bidi="ar-SA"/>
      </w:rPr>
    </w:lvl>
    <w:lvl w:ilvl="5" w:tplc="8AA6A390">
      <w:numFmt w:val="bullet"/>
      <w:lvlText w:val="•"/>
      <w:lvlJc w:val="left"/>
      <w:pPr>
        <w:ind w:left="5490" w:hanging="271"/>
      </w:pPr>
      <w:rPr>
        <w:rFonts w:hint="default"/>
        <w:lang w:val="en-US" w:eastAsia="en-US" w:bidi="ar-SA"/>
      </w:rPr>
    </w:lvl>
    <w:lvl w:ilvl="6" w:tplc="5D781A8E">
      <w:numFmt w:val="bullet"/>
      <w:lvlText w:val="•"/>
      <w:lvlJc w:val="left"/>
      <w:pPr>
        <w:ind w:left="6464" w:hanging="271"/>
      </w:pPr>
      <w:rPr>
        <w:rFonts w:hint="default"/>
        <w:lang w:val="en-US" w:eastAsia="en-US" w:bidi="ar-SA"/>
      </w:rPr>
    </w:lvl>
    <w:lvl w:ilvl="7" w:tplc="025AB65E">
      <w:numFmt w:val="bullet"/>
      <w:lvlText w:val="•"/>
      <w:lvlJc w:val="left"/>
      <w:pPr>
        <w:ind w:left="7438" w:hanging="271"/>
      </w:pPr>
      <w:rPr>
        <w:rFonts w:hint="default"/>
        <w:lang w:val="en-US" w:eastAsia="en-US" w:bidi="ar-SA"/>
      </w:rPr>
    </w:lvl>
    <w:lvl w:ilvl="8" w:tplc="BB2E675A">
      <w:numFmt w:val="bullet"/>
      <w:lvlText w:val="•"/>
      <w:lvlJc w:val="left"/>
      <w:pPr>
        <w:ind w:left="8412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49980989"/>
    <w:multiLevelType w:val="hybridMultilevel"/>
    <w:tmpl w:val="00840462"/>
    <w:lvl w:ilvl="0" w:tplc="6E52B68A">
      <w:numFmt w:val="bullet"/>
      <w:lvlText w:val=""/>
      <w:lvlJc w:val="left"/>
      <w:pPr>
        <w:ind w:left="89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3BA0412">
      <w:numFmt w:val="bullet"/>
      <w:lvlText w:val="o"/>
      <w:lvlJc w:val="left"/>
      <w:pPr>
        <w:ind w:left="161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71B0F3F2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444ED16C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 w:tplc="AA922B72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36DE2E96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8102C84A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3230A116">
      <w:numFmt w:val="bullet"/>
      <w:lvlText w:val="•"/>
      <w:lvlJc w:val="left"/>
      <w:pPr>
        <w:ind w:left="7446" w:hanging="361"/>
      </w:pPr>
      <w:rPr>
        <w:rFonts w:hint="default"/>
        <w:lang w:val="en-US" w:eastAsia="en-US" w:bidi="ar-SA"/>
      </w:rPr>
    </w:lvl>
    <w:lvl w:ilvl="8" w:tplc="34169B08"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ar-SA"/>
      </w:rPr>
    </w:lvl>
  </w:abstractNum>
  <w:num w:numId="1" w16cid:durableId="142161660">
    <w:abstractNumId w:val="0"/>
  </w:num>
  <w:num w:numId="2" w16cid:durableId="82655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003"/>
    <w:rsid w:val="002D3571"/>
    <w:rsid w:val="002D4258"/>
    <w:rsid w:val="00311003"/>
    <w:rsid w:val="006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71827E1"/>
  <w15:docId w15:val="{A3AF354E-DA2C-46B3-958D-49027E0D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0" w:hanging="362"/>
    </w:pPr>
  </w:style>
  <w:style w:type="paragraph" w:customStyle="1" w:styleId="TableParagraph">
    <w:name w:val="Table Paragraph"/>
    <w:basedOn w:val="Normal"/>
    <w:uiPriority w:val="1"/>
    <w:qFormat/>
    <w:pPr>
      <w:ind w:left="5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D35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35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7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1626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PAD Audit Report New format</dc:title>
  <dc:creator>X069509</dc:creator>
  <cp:lastModifiedBy>Shubham A Singh</cp:lastModifiedBy>
  <cp:revision>2</cp:revision>
  <dcterms:created xsi:type="dcterms:W3CDTF">2024-08-07T11:14:00Z</dcterms:created>
  <dcterms:modified xsi:type="dcterms:W3CDTF">2024-08-07T11:30:00Z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2024-08-07T00:00:00Z</vt:filetime>
  </property>
</Properties>
</file>