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BF09C" w14:textId="77777777" w:rsidR="00451220" w:rsidRDefault="00451220">
      <w:pPr>
        <w:pStyle w:val="BodyText"/>
        <w:rPr>
          <w:sz w:val="20"/>
        </w:rPr>
      </w:pPr>
    </w:p>
    <w:p w14:paraId="4F6A73BA" w14:textId="77777777" w:rsidR="00451220" w:rsidRDefault="00451220">
      <w:pPr>
        <w:pStyle w:val="BodyText"/>
        <w:spacing w:before="6"/>
        <w:rPr>
          <w:sz w:val="20"/>
        </w:rPr>
      </w:pPr>
    </w:p>
    <w:p w14:paraId="41E6855B" w14:textId="77777777" w:rsidR="00451220" w:rsidRDefault="00000000">
      <w:pPr>
        <w:pStyle w:val="BodyText"/>
        <w:spacing w:before="90"/>
        <w:ind w:left="180" w:right="179" w:hanging="10"/>
      </w:pPr>
      <w:r>
        <w:t>Internal Audit has assessed the control condition of the key Sarbanes-Oxley (SOX) controls within Human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(HR)</w:t>
      </w:r>
      <w:r>
        <w:rPr>
          <w:spacing w:val="-1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 xml:space="preserve">January 1, </w:t>
      </w:r>
      <w:proofErr w:type="gramStart"/>
      <w:r>
        <w:t>2023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2023.</w:t>
      </w:r>
      <w:r>
        <w:rPr>
          <w:spacing w:val="5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audit</w:t>
      </w:r>
      <w:r>
        <w:rPr>
          <w:spacing w:val="-52"/>
        </w:rPr>
        <w:t xml:space="preserve"> </w:t>
      </w:r>
      <w:r>
        <w:t>is designed to provide reasonable assurance as to the design and effectiveness of the system of internal control</w:t>
      </w:r>
      <w:r>
        <w:rPr>
          <w:spacing w:val="1"/>
        </w:rPr>
        <w:t xml:space="preserve"> </w:t>
      </w:r>
      <w:r>
        <w:t>implemented by management. Internal Audit's testing resulted in the identification of 4 low risk issues. The details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issues </w:t>
      </w:r>
      <w:proofErr w:type="gramStart"/>
      <w:r>
        <w:t>identified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management’s action</w:t>
      </w:r>
      <w:r>
        <w:rPr>
          <w:spacing w:val="-4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can be reviewed in</w:t>
      </w:r>
      <w:r>
        <w:rPr>
          <w:spacing w:val="-1"/>
        </w:rPr>
        <w:t xml:space="preserve"> </w:t>
      </w:r>
      <w:r>
        <w:t>the attached PDF.</w:t>
      </w:r>
    </w:p>
    <w:p w14:paraId="4396C548" w14:textId="77777777" w:rsidR="00451220" w:rsidRDefault="00451220">
      <w:pPr>
        <w:pStyle w:val="BodyText"/>
      </w:pPr>
    </w:p>
    <w:p w14:paraId="0A1B311A" w14:textId="77777777" w:rsidR="00451220" w:rsidRDefault="00000000">
      <w:pPr>
        <w:pStyle w:val="BodyText"/>
        <w:spacing w:line="480" w:lineRule="auto"/>
        <w:ind w:left="170" w:right="5425"/>
      </w:pPr>
      <w:r>
        <w:rPr>
          <w:color w:val="1E487C"/>
        </w:rPr>
        <w:t xml:space="preserve">Control Condition: </w:t>
      </w:r>
      <w:r>
        <w:t>Satisfactory with Limited Exceptions</w:t>
      </w:r>
      <w:r>
        <w:rPr>
          <w:spacing w:val="-52"/>
        </w:rPr>
        <w:t xml:space="preserve"> </w:t>
      </w:r>
      <w:r>
        <w:rPr>
          <w:color w:val="1E487C"/>
        </w:rPr>
        <w:t>Control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 xml:space="preserve">Environment: </w:t>
      </w:r>
      <w:r>
        <w:t>Unrated</w:t>
      </w:r>
    </w:p>
    <w:p w14:paraId="50377308" w14:textId="77777777" w:rsidR="00451220" w:rsidRDefault="00000000">
      <w:pPr>
        <w:pStyle w:val="BodyText"/>
        <w:spacing w:before="1"/>
        <w:ind w:left="170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7A44E9C5" w14:textId="77777777" w:rsidR="00451220" w:rsidRDefault="00000000">
      <w:pPr>
        <w:pStyle w:val="BodyText"/>
        <w:spacing w:before="1" w:line="268" w:lineRule="auto"/>
        <w:ind w:left="170" w:right="250"/>
      </w:pPr>
      <w:r>
        <w:t>Based on the results of the work performed, Internal Audit has concluded that the system of internal controls</w:t>
      </w:r>
      <w:r>
        <w:rPr>
          <w:spacing w:val="1"/>
        </w:rPr>
        <w:t xml:space="preserve"> </w:t>
      </w:r>
      <w:r>
        <w:t>implemented by management is adequately designed and operating as intended to mitigate the risks of the function.</w:t>
      </w:r>
      <w:r>
        <w:rPr>
          <w:spacing w:val="-52"/>
        </w:rPr>
        <w:t xml:space="preserve"> </w:t>
      </w:r>
      <w:r>
        <w:t xml:space="preserve">The identified issues have limited impact on the ability of controls to mitigate business risks. However, the </w:t>
      </w:r>
      <w:proofErr w:type="gramStart"/>
      <w:r>
        <w:t>low risk</w:t>
      </w:r>
      <w:proofErr w:type="gramEnd"/>
      <w:r>
        <w:rPr>
          <w:spacing w:val="-52"/>
        </w:rPr>
        <w:t xml:space="preserve"> </w:t>
      </w:r>
      <w:r>
        <w:t>issues reported do highlight the need for enhancements in certain areas of risk surrounding Operations, Information</w:t>
      </w:r>
      <w:r>
        <w:rPr>
          <w:spacing w:val="-52"/>
        </w:rPr>
        <w:t xml:space="preserve"> </w:t>
      </w:r>
      <w:r>
        <w:t>Technology and Information Security. Particularly, the review identified the need for enhancements to the payroll</w:t>
      </w:r>
      <w:r>
        <w:rPr>
          <w:spacing w:val="1"/>
        </w:rPr>
        <w:t xml:space="preserve"> </w:t>
      </w:r>
      <w:r>
        <w:t>suspense accounting review controls to ensure this operational risk does not increase and is adequately addressed to</w:t>
      </w:r>
      <w:r>
        <w:rPr>
          <w:spacing w:val="-52"/>
        </w:rPr>
        <w:t xml:space="preserve"> </w:t>
      </w:r>
      <w:r>
        <w:t>ensure timely and proper resolution of suspense items.</w:t>
      </w:r>
      <w:r>
        <w:rPr>
          <w:spacing w:val="1"/>
        </w:rPr>
        <w:t xml:space="preserve"> </w:t>
      </w:r>
      <w:r>
        <w:t>As a result, Control Condition has been rated Satisfactory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Limited Exceptions.</w:t>
      </w:r>
    </w:p>
    <w:p w14:paraId="40C93209" w14:textId="77777777" w:rsidR="00451220" w:rsidRDefault="00451220">
      <w:pPr>
        <w:pStyle w:val="BodyText"/>
        <w:spacing w:before="2"/>
        <w:rPr>
          <w:sz w:val="27"/>
        </w:rPr>
      </w:pPr>
    </w:p>
    <w:p w14:paraId="01916CB3" w14:textId="77777777" w:rsidR="00451220" w:rsidRDefault="00000000">
      <w:pPr>
        <w:pStyle w:val="BodyText"/>
        <w:ind w:left="170"/>
      </w:pPr>
      <w:r>
        <w:rPr>
          <w:color w:val="1E487C"/>
        </w:rPr>
        <w:t>Scope:</w:t>
      </w:r>
    </w:p>
    <w:p w14:paraId="4303B1F2" w14:textId="77777777" w:rsidR="00451220" w:rsidRDefault="00000000">
      <w:pPr>
        <w:pStyle w:val="BodyText"/>
        <w:spacing w:before="1" w:line="242" w:lineRule="auto"/>
        <w:ind w:left="180" w:right="179" w:hanging="10"/>
      </w:pPr>
      <w:r>
        <w:t>The HR Payroll Operations team is responsible for the oversight and monitoring of payroll reporting for U.S.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PGIM.</w:t>
      </w:r>
      <w:r>
        <w:rPr>
          <w:spacing w:val="-2"/>
        </w:rPr>
        <w:t xml:space="preserve"> </w:t>
      </w:r>
      <w:r>
        <w:t>ABC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utilizes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vendors,</w:t>
      </w:r>
      <w:r>
        <w:rPr>
          <w:spacing w:val="-2"/>
        </w:rPr>
        <w:t xml:space="preserve"> </w:t>
      </w:r>
      <w:r>
        <w:t>Alight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Workday,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tech-</w:t>
      </w:r>
      <w:r>
        <w:rPr>
          <w:spacing w:val="-52"/>
        </w:rPr>
        <w:t xml:space="preserve"> </w:t>
      </w:r>
      <w:proofErr w:type="spellStart"/>
      <w:r>
        <w:t>nology</w:t>
      </w:r>
      <w:proofErr w:type="spellEnd"/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 Human</w:t>
      </w:r>
      <w:r>
        <w:rPr>
          <w:spacing w:val="-1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(SaaS),</w:t>
      </w:r>
      <w:r>
        <w:rPr>
          <w:spacing w:val="-2"/>
        </w:rPr>
        <w:t xml:space="preserve"> </w:t>
      </w:r>
      <w:r>
        <w:t>respectively.</w:t>
      </w:r>
    </w:p>
    <w:p w14:paraId="7FCE5D1D" w14:textId="77777777" w:rsidR="00451220" w:rsidRDefault="00451220">
      <w:pPr>
        <w:pStyle w:val="BodyText"/>
        <w:spacing w:before="8"/>
        <w:rPr>
          <w:sz w:val="21"/>
        </w:rPr>
      </w:pPr>
    </w:p>
    <w:p w14:paraId="2AD722CA" w14:textId="77777777" w:rsidR="00451220" w:rsidRDefault="00000000">
      <w:pPr>
        <w:pStyle w:val="BodyText"/>
        <w:ind w:left="170" w:right="179"/>
      </w:pPr>
      <w:r>
        <w:t>The scope included an assessment of the design and effectiveness of the key SOX controls related to HR Payroll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Internal Audit’s testing supports management’s assertion of key SOX 404 controls during the period</w:t>
      </w:r>
      <w:r>
        <w:rPr>
          <w:spacing w:val="-5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review.</w:t>
      </w:r>
    </w:p>
    <w:p w14:paraId="1A5E5F99" w14:textId="77777777" w:rsidR="00451220" w:rsidRDefault="00451220">
      <w:pPr>
        <w:pStyle w:val="BodyText"/>
        <w:spacing w:before="1"/>
      </w:pPr>
    </w:p>
    <w:p w14:paraId="31863D9C" w14:textId="77777777" w:rsidR="00451220" w:rsidRDefault="00000000">
      <w:pPr>
        <w:pStyle w:val="BodyText"/>
        <w:ind w:left="170"/>
      </w:pP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including:</w:t>
      </w:r>
    </w:p>
    <w:p w14:paraId="05F65906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ind w:left="890" w:hanging="361"/>
      </w:pPr>
      <w:r>
        <w:t>Product,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Suspense</w:t>
      </w:r>
    </w:p>
    <w:p w14:paraId="56C1FC5E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68" w:lineRule="exact"/>
        <w:ind w:left="892" w:hanging="363"/>
      </w:pPr>
      <w:r>
        <w:t>Product,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Trading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Inappropriate</w:t>
      </w:r>
      <w:r>
        <w:rPr>
          <w:spacing w:val="-1"/>
        </w:rPr>
        <w:t xml:space="preserve"> </w:t>
      </w:r>
      <w:r>
        <w:t>Fluctuations</w:t>
      </w:r>
      <w:r>
        <w:rPr>
          <w:spacing w:val="-2"/>
        </w:rPr>
        <w:t xml:space="preserve"> </w:t>
      </w:r>
      <w:r>
        <w:t>in Payroll</w:t>
      </w:r>
    </w:p>
    <w:p w14:paraId="6AFB7D09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spacing w:line="268" w:lineRule="exact"/>
        <w:ind w:left="890" w:hanging="361"/>
      </w:pPr>
      <w:r>
        <w:t>Information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Payroll</w:t>
      </w:r>
      <w:r>
        <w:rPr>
          <w:spacing w:val="-2"/>
        </w:rPr>
        <w:t xml:space="preserve"> </w:t>
      </w:r>
      <w:r>
        <w:t>Applications</w:t>
      </w:r>
    </w:p>
    <w:p w14:paraId="4CF8A8C5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ind w:left="890" w:hanging="361"/>
      </w:pP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Inadequate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Availability</w:t>
      </w:r>
    </w:p>
    <w:p w14:paraId="7A6F79FC" w14:textId="77777777" w:rsidR="00451220" w:rsidRDefault="00451220">
      <w:pPr>
        <w:pStyle w:val="BodyText"/>
      </w:pPr>
    </w:p>
    <w:p w14:paraId="21A7B262" w14:textId="77777777" w:rsidR="00451220" w:rsidRDefault="00000000">
      <w:pPr>
        <w:pStyle w:val="BodyText"/>
        <w:ind w:left="225"/>
      </w:pPr>
      <w:r>
        <w:t>Testing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including:</w:t>
      </w:r>
    </w:p>
    <w:p w14:paraId="39731A91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ind w:left="890" w:hanging="361"/>
      </w:pPr>
      <w:r>
        <w:t>PR-</w:t>
      </w:r>
      <w:r>
        <w:rPr>
          <w:spacing w:val="-2"/>
        </w:rPr>
        <w:t xml:space="preserve"> </w:t>
      </w:r>
      <w:r>
        <w:t>001326:</w:t>
      </w:r>
      <w:r>
        <w:rPr>
          <w:spacing w:val="52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Administration</w:t>
      </w:r>
    </w:p>
    <w:p w14:paraId="0FCEF2A9" w14:textId="77777777" w:rsidR="00451220" w:rsidRDefault="00000000">
      <w:pPr>
        <w:pStyle w:val="ListParagraph"/>
        <w:numPr>
          <w:ilvl w:val="0"/>
          <w:numId w:val="2"/>
        </w:numPr>
        <w:tabs>
          <w:tab w:val="left" w:pos="890"/>
          <w:tab w:val="left" w:pos="891"/>
        </w:tabs>
        <w:ind w:left="890" w:hanging="361"/>
      </w:pPr>
      <w:r>
        <w:t>PR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001287: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(GAC)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Workday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Management/SLDC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Interfaces</w:t>
      </w:r>
    </w:p>
    <w:p w14:paraId="114009E6" w14:textId="77777777" w:rsidR="00451220" w:rsidRDefault="00451220">
      <w:pPr>
        <w:pStyle w:val="BodyText"/>
        <w:spacing w:before="11"/>
        <w:rPr>
          <w:sz w:val="21"/>
        </w:rPr>
      </w:pPr>
    </w:p>
    <w:p w14:paraId="60C8817D" w14:textId="77777777" w:rsidR="00451220" w:rsidRDefault="00000000">
      <w:pPr>
        <w:pStyle w:val="BodyText"/>
        <w:ind w:left="17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controls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excluded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review:</w:t>
      </w:r>
    </w:p>
    <w:p w14:paraId="071C7673" w14:textId="77777777" w:rsidR="00451220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hanging="361"/>
      </w:pPr>
      <w:r>
        <w:t>PR-</w:t>
      </w:r>
      <w:r>
        <w:rPr>
          <w:spacing w:val="-2"/>
        </w:rPr>
        <w:t xml:space="preserve"> </w:t>
      </w:r>
      <w:r>
        <w:t>001326:</w:t>
      </w:r>
      <w:r>
        <w:rPr>
          <w:spacing w:val="52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Administration</w:t>
      </w:r>
    </w:p>
    <w:p w14:paraId="69F8CBAD" w14:textId="77777777" w:rsidR="00451220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hanging="361"/>
      </w:pPr>
      <w:r>
        <w:t>CO-003475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SOC1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Complementary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Mapping</w:t>
      </w:r>
    </w:p>
    <w:p w14:paraId="08AAAB01" w14:textId="77777777" w:rsidR="00451220" w:rsidRDefault="00451220">
      <w:pPr>
        <w:pStyle w:val="BodyText"/>
        <w:rPr>
          <w:sz w:val="20"/>
        </w:rPr>
      </w:pPr>
    </w:p>
    <w:p w14:paraId="166F0235" w14:textId="77777777" w:rsidR="00451220" w:rsidRDefault="00451220">
      <w:pPr>
        <w:pStyle w:val="BodyText"/>
        <w:spacing w:before="2"/>
        <w:rPr>
          <w:sz w:val="18"/>
        </w:rPr>
      </w:pPr>
    </w:p>
    <w:p w14:paraId="3BB4719D" w14:textId="77777777" w:rsidR="00451220" w:rsidRDefault="00000000">
      <w:pPr>
        <w:spacing w:line="266" w:lineRule="auto"/>
        <w:ind w:left="516" w:right="256"/>
        <w:rPr>
          <w:sz w:val="18"/>
        </w:rPr>
      </w:pPr>
      <w:r>
        <w:rPr>
          <w:color w:val="1E487C"/>
          <w:sz w:val="18"/>
        </w:rPr>
        <w:t>This report is confidential and not to be distributed to anyone beyond the individuals indicated. Should copies of this report be requested</w:t>
      </w:r>
      <w:r>
        <w:rPr>
          <w:color w:val="1E487C"/>
          <w:spacing w:val="-42"/>
          <w:sz w:val="18"/>
        </w:rPr>
        <w:t xml:space="preserve"> </w:t>
      </w:r>
      <w:r>
        <w:rPr>
          <w:color w:val="1E487C"/>
          <w:sz w:val="18"/>
        </w:rPr>
        <w:t>by any employee of ABC Company or subsidiaries, the request should be referred to the Internal Audit Department. All requests by ex-</w:t>
      </w:r>
      <w:r>
        <w:rPr>
          <w:color w:val="1E487C"/>
          <w:spacing w:val="1"/>
          <w:sz w:val="18"/>
        </w:rPr>
        <w:t xml:space="preserve"> </w:t>
      </w:r>
      <w:r>
        <w:rPr>
          <w:color w:val="1E487C"/>
          <w:sz w:val="18"/>
        </w:rPr>
        <w:t>ternal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parties, either individual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or regulatory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entity should</w:t>
      </w:r>
      <w:r>
        <w:rPr>
          <w:color w:val="1E487C"/>
          <w:spacing w:val="-1"/>
          <w:sz w:val="18"/>
        </w:rPr>
        <w:t xml:space="preserve"> </w:t>
      </w:r>
      <w:r>
        <w:rPr>
          <w:color w:val="1E487C"/>
          <w:sz w:val="18"/>
        </w:rPr>
        <w:t>be referred</w:t>
      </w:r>
      <w:r>
        <w:rPr>
          <w:color w:val="1E487C"/>
          <w:spacing w:val="-2"/>
          <w:sz w:val="18"/>
        </w:rPr>
        <w:t xml:space="preserve"> </w:t>
      </w:r>
      <w:r>
        <w:rPr>
          <w:color w:val="1E487C"/>
          <w:sz w:val="18"/>
        </w:rPr>
        <w:t>to</w:t>
      </w:r>
      <w:r>
        <w:rPr>
          <w:color w:val="1E487C"/>
          <w:spacing w:val="-3"/>
          <w:sz w:val="18"/>
        </w:rPr>
        <w:t xml:space="preserve"> </w:t>
      </w:r>
      <w:r>
        <w:rPr>
          <w:color w:val="1E487C"/>
          <w:sz w:val="18"/>
        </w:rPr>
        <w:t>the Law Department.</w:t>
      </w:r>
    </w:p>
    <w:p w14:paraId="14775D05" w14:textId="77777777" w:rsidR="00451220" w:rsidRDefault="00000000">
      <w:pPr>
        <w:spacing w:before="1"/>
        <w:ind w:left="5176"/>
        <w:rPr>
          <w:sz w:val="19"/>
        </w:rPr>
      </w:pPr>
      <w:r>
        <w:rPr>
          <w:sz w:val="19"/>
        </w:rPr>
        <w:t>1</w:t>
      </w:r>
      <w:r>
        <w:rPr>
          <w:spacing w:val="-3"/>
          <w:sz w:val="19"/>
        </w:rPr>
        <w:t xml:space="preserve"> </w:t>
      </w:r>
      <w:r>
        <w:rPr>
          <w:sz w:val="18"/>
        </w:rPr>
        <w:t xml:space="preserve">of </w:t>
      </w:r>
      <w:r>
        <w:rPr>
          <w:sz w:val="19"/>
        </w:rPr>
        <w:t>9</w:t>
      </w:r>
    </w:p>
    <w:p w14:paraId="42383925" w14:textId="77777777" w:rsidR="00451220" w:rsidRDefault="00451220">
      <w:pPr>
        <w:rPr>
          <w:sz w:val="19"/>
        </w:rPr>
        <w:sectPr w:rsidR="00451220">
          <w:headerReference w:type="default" r:id="rId7"/>
          <w:type w:val="continuous"/>
          <w:pgSz w:w="12240" w:h="15840"/>
          <w:pgMar w:top="1740" w:right="880" w:bottom="280" w:left="740" w:header="720" w:footer="720" w:gutter="0"/>
          <w:pgNumType w:start="1"/>
          <w:cols w:space="720"/>
        </w:sectPr>
      </w:pPr>
    </w:p>
    <w:p w14:paraId="01F5205B" w14:textId="77777777" w:rsidR="00451220" w:rsidRDefault="00451220">
      <w:pPr>
        <w:pStyle w:val="BodyText"/>
        <w:rPr>
          <w:sz w:val="20"/>
        </w:rPr>
      </w:pPr>
    </w:p>
    <w:p w14:paraId="33E6E35B" w14:textId="77777777" w:rsidR="00451220" w:rsidRDefault="00451220">
      <w:pPr>
        <w:pStyle w:val="BodyText"/>
        <w:spacing w:before="6"/>
        <w:rPr>
          <w:sz w:val="20"/>
        </w:rPr>
      </w:pPr>
    </w:p>
    <w:p w14:paraId="3BACD88D" w14:textId="77777777" w:rsidR="00451220" w:rsidRDefault="00000000">
      <w:pPr>
        <w:pStyle w:val="BodyText"/>
        <w:spacing w:before="90"/>
        <w:ind w:left="170"/>
      </w:pP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review.</w:t>
      </w:r>
    </w:p>
    <w:p w14:paraId="70FC766E" w14:textId="77777777" w:rsidR="00451220" w:rsidRDefault="00451220">
      <w:pPr>
        <w:pStyle w:val="BodyText"/>
        <w:spacing w:before="1"/>
      </w:pPr>
    </w:p>
    <w:p w14:paraId="205858AB" w14:textId="77777777" w:rsidR="00451220" w:rsidRDefault="00000000">
      <w:pPr>
        <w:pStyle w:val="BodyText"/>
        <w:spacing w:line="244" w:lineRule="auto"/>
        <w:ind w:left="180" w:right="147" w:hanging="10"/>
      </w:pPr>
      <w:r>
        <w:t>Furthermore, this review focused on financial reporting controls over payroll activities performed by ABC Company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proofErr w:type="spellStart"/>
      <w:r>
        <w:t>regu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latory</w:t>
      </w:r>
      <w:proofErr w:type="spellEnd"/>
      <w:r>
        <w:t xml:space="preserve"> risks, which would be covered under the SOC-1 report.</w:t>
      </w:r>
      <w:r>
        <w:rPr>
          <w:spacing w:val="55"/>
        </w:rPr>
        <w:t xml:space="preserve"> </w:t>
      </w:r>
      <w:r>
        <w:t>As such, recent risk events related to employee</w:t>
      </w:r>
      <w:r>
        <w:rPr>
          <w:spacing w:val="1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tax withholdings were not included</w:t>
      </w:r>
      <w:r>
        <w:rPr>
          <w:spacing w:val="-1"/>
        </w:rPr>
        <w:t xml:space="preserve"> </w:t>
      </w:r>
      <w:r>
        <w:t>in the assessment of this</w:t>
      </w:r>
      <w:r>
        <w:rPr>
          <w:spacing w:val="-3"/>
        </w:rPr>
        <w:t xml:space="preserve"> </w:t>
      </w:r>
      <w:r>
        <w:t>report.</w:t>
      </w:r>
    </w:p>
    <w:p w14:paraId="784E5197" w14:textId="77777777" w:rsidR="00451220" w:rsidRDefault="00451220">
      <w:pPr>
        <w:pStyle w:val="BodyText"/>
        <w:spacing w:before="6"/>
        <w:rPr>
          <w:sz w:val="21"/>
        </w:rPr>
      </w:pPr>
    </w:p>
    <w:p w14:paraId="6F9CF3E8" w14:textId="77777777" w:rsidR="00451220" w:rsidRDefault="00000000">
      <w:pPr>
        <w:pStyle w:val="BodyText"/>
        <w:ind w:left="180" w:right="184" w:hanging="10"/>
      </w:pPr>
      <w:r>
        <w:t>Any questions regarding this report should be directed to the Group Vice President or Vice President responsible for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audit, John </w:t>
      </w:r>
      <w:proofErr w:type="spellStart"/>
      <w:r>
        <w:t>Koskoski</w:t>
      </w:r>
      <w:proofErr w:type="spellEnd"/>
      <w:r>
        <w:t xml:space="preserve"> and Edward Colville, respectively.</w:t>
      </w:r>
    </w:p>
    <w:p w14:paraId="7345F467" w14:textId="77777777" w:rsidR="00451220" w:rsidRDefault="00451220">
      <w:pPr>
        <w:sectPr w:rsidR="00451220">
          <w:headerReference w:type="default" r:id="rId8"/>
          <w:footerReference w:type="default" r:id="rId9"/>
          <w:pgSz w:w="12240" w:h="15840"/>
          <w:pgMar w:top="1740" w:right="880" w:bottom="1620" w:left="740" w:header="720" w:footer="1424" w:gutter="0"/>
          <w:pgNumType w:start="2"/>
          <w:cols w:space="720"/>
        </w:sectPr>
      </w:pPr>
    </w:p>
    <w:p w14:paraId="5DBE0DA0" w14:textId="77777777" w:rsidR="00451220" w:rsidRDefault="00451220">
      <w:pPr>
        <w:pStyle w:val="BodyText"/>
        <w:rPr>
          <w:sz w:val="20"/>
        </w:rPr>
      </w:pPr>
    </w:p>
    <w:p w14:paraId="5F1D96DA" w14:textId="77777777" w:rsidR="00451220" w:rsidRDefault="00451220">
      <w:pPr>
        <w:pStyle w:val="BodyText"/>
        <w:spacing w:before="6"/>
        <w:rPr>
          <w:sz w:val="28"/>
        </w:rPr>
      </w:pPr>
    </w:p>
    <w:p w14:paraId="0D312056" w14:textId="77777777" w:rsidR="00451220" w:rsidRDefault="00000000">
      <w:pPr>
        <w:pStyle w:val="BodyText"/>
        <w:ind w:left="101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255D6755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519.3pt;height:39.45pt;mso-left-percent:-10001;mso-top-percent:-10001;mso-position-horizontal:absolute;mso-position-horizontal-relative:char;mso-position-vertical:absolute;mso-position-vertical-relative:line;mso-left-percent:-10001;mso-top-percent:-10001" fillcolor="#95b3d7" strokecolor="#375c8a" strokeweight="1.5pt">
            <v:textbox inset="0,0,0,0">
              <w:txbxContent>
                <w:p w14:paraId="6CAC3E14" w14:textId="77777777" w:rsidR="00451220" w:rsidRDefault="00000000">
                  <w:pPr>
                    <w:pStyle w:val="BodyText"/>
                    <w:spacing w:line="252" w:lineRule="exact"/>
                    <w:ind w:left="30"/>
                  </w:pPr>
                  <w:r>
                    <w:rPr>
                      <w:color w:val="1E487C"/>
                    </w:rPr>
                    <w:t>Issue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#: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IS-001149</w:t>
                  </w:r>
                </w:p>
                <w:p w14:paraId="26D6640D" w14:textId="77777777" w:rsidR="00451220" w:rsidRDefault="00000000">
                  <w:pPr>
                    <w:pStyle w:val="BodyText"/>
                    <w:ind w:left="39" w:right="118" w:hanging="10"/>
                  </w:pPr>
                  <w:r>
                    <w:rPr>
                      <w:color w:val="1E487C"/>
                    </w:rPr>
                    <w:t xml:space="preserve">Issue Name: </w:t>
                  </w:r>
                  <w:r>
                    <w:t>Additional reviews and role clarifications are required for the user access recertification control for 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application.</w:t>
                  </w:r>
                </w:p>
              </w:txbxContent>
            </v:textbox>
            <w10:anchorlock/>
          </v:shape>
        </w:pict>
      </w:r>
    </w:p>
    <w:p w14:paraId="30B22F60" w14:textId="77777777" w:rsidR="00451220" w:rsidRDefault="00451220">
      <w:pPr>
        <w:pStyle w:val="BodyText"/>
        <w:spacing w:before="3"/>
        <w:rPr>
          <w:sz w:val="12"/>
        </w:rPr>
      </w:pPr>
    </w:p>
    <w:p w14:paraId="3ED04F31" w14:textId="77777777" w:rsidR="00451220" w:rsidRDefault="00000000">
      <w:pPr>
        <w:pStyle w:val="BodyText"/>
        <w:spacing w:before="90"/>
        <w:ind w:left="161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587AD20E" w14:textId="77777777" w:rsidR="00451220" w:rsidRDefault="00000000">
      <w:pPr>
        <w:pStyle w:val="BodyText"/>
        <w:ind w:left="170" w:right="201" w:hanging="10"/>
      </w:pPr>
      <w:r>
        <w:t>Workday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(HR)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(SaaS)</w:t>
      </w:r>
      <w:r>
        <w:rPr>
          <w:spacing w:val="-52"/>
        </w:rPr>
        <w:t xml:space="preserve"> </w:t>
      </w:r>
      <w:r>
        <w:t>integrated portfolio for employee management, including payroll services. HR Payroll Operations management is</w:t>
      </w:r>
      <w:r>
        <w:rPr>
          <w:spacing w:val="1"/>
        </w:rPr>
        <w:t xml:space="preserve"> </w:t>
      </w:r>
      <w:r>
        <w:t>responsible for recertifying the user security access to the Workday HR application for payroll related security and</w:t>
      </w:r>
      <w:r>
        <w:rPr>
          <w:spacing w:val="1"/>
        </w:rPr>
        <w:t xml:space="preserve"> </w:t>
      </w:r>
      <w:r>
        <w:t>role-based groups (e.g., Payroll Reporting Leadership Team, Payroll Partner).</w:t>
      </w:r>
      <w:r>
        <w:rPr>
          <w:spacing w:val="1"/>
        </w:rPr>
        <w:t xml:space="preserve"> </w:t>
      </w:r>
      <w:r>
        <w:t>Internal Audit’s testing of the</w:t>
      </w:r>
      <w:r>
        <w:rPr>
          <w:spacing w:val="1"/>
        </w:rPr>
        <w:t xml:space="preserve"> </w:t>
      </w:r>
      <w:r>
        <w:t>recertification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noted the following:</w:t>
      </w:r>
    </w:p>
    <w:p w14:paraId="7AD95952" w14:textId="77777777" w:rsidR="00451220" w:rsidRDefault="00451220">
      <w:pPr>
        <w:pStyle w:val="BodyText"/>
      </w:pPr>
    </w:p>
    <w:p w14:paraId="7F4490C0" w14:textId="77777777" w:rsidR="00451220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40" w:lineRule="auto"/>
        <w:ind w:right="263"/>
      </w:pPr>
      <w:r>
        <w:t>The HR Operations Payroll role owner recertified their own Workday access with no secondary review.</w:t>
      </w:r>
      <w:r>
        <w:rPr>
          <w:spacing w:val="1"/>
        </w:rPr>
        <w:t xml:space="preserve"> </w:t>
      </w:r>
      <w:r>
        <w:t>Security best practice indicates that a reviewer of a user access recertification should not be assigned to</w:t>
      </w:r>
      <w:r>
        <w:rPr>
          <w:spacing w:val="1"/>
        </w:rPr>
        <w:t xml:space="preserve"> </w:t>
      </w:r>
      <w:r>
        <w:t>review their own access rights. Rather, their access should be reviewed by someone else or there should be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secondary review to ensure access rights are appropriate.</w:t>
      </w:r>
    </w:p>
    <w:p w14:paraId="04722099" w14:textId="77777777" w:rsidR="00451220" w:rsidRDefault="00451220">
      <w:pPr>
        <w:pStyle w:val="BodyText"/>
        <w:spacing w:before="11"/>
        <w:rPr>
          <w:sz w:val="21"/>
        </w:rPr>
      </w:pPr>
    </w:p>
    <w:p w14:paraId="29593106" w14:textId="77777777" w:rsidR="00451220" w:rsidRDefault="00000000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line="240" w:lineRule="auto"/>
        <w:ind w:right="237"/>
      </w:pPr>
      <w:r>
        <w:t>The recertification of the Payroll Auditor enterprise payroll security group, which allows the user view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payroll</w:t>
      </w:r>
      <w:r>
        <w:rPr>
          <w:spacing w:val="-1"/>
        </w:rPr>
        <w:t xml:space="preserve"> </w:t>
      </w:r>
      <w:r>
        <w:t>setup,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incorrectly</w:t>
      </w:r>
      <w:r>
        <w:rPr>
          <w:spacing w:val="-52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GT. This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HR Operations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privileges.</w:t>
      </w:r>
    </w:p>
    <w:p w14:paraId="5DBA89CC" w14:textId="77777777" w:rsidR="00451220" w:rsidRDefault="00451220">
      <w:pPr>
        <w:pStyle w:val="BodyText"/>
        <w:spacing w:before="10"/>
        <w:rPr>
          <w:sz w:val="21"/>
        </w:rPr>
      </w:pPr>
    </w:p>
    <w:p w14:paraId="5845300C" w14:textId="77777777" w:rsidR="00451220" w:rsidRDefault="00000000">
      <w:pPr>
        <w:pStyle w:val="BodyText"/>
        <w:ind w:left="155"/>
      </w:pPr>
      <w:r>
        <w:rPr>
          <w:color w:val="1E487C"/>
        </w:rPr>
        <w:t>Root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Cause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Explanation:</w:t>
      </w:r>
    </w:p>
    <w:p w14:paraId="71512D80" w14:textId="77777777" w:rsidR="00451220" w:rsidRDefault="00000000">
      <w:pPr>
        <w:pStyle w:val="BodyText"/>
        <w:ind w:left="165" w:right="678" w:hanging="11"/>
      </w:pPr>
      <w:r>
        <w:t>Lack of awareness related to certain company standards regarding set up of security groups and the user access</w:t>
      </w:r>
      <w:r>
        <w:rPr>
          <w:spacing w:val="-52"/>
        </w:rPr>
        <w:t xml:space="preserve"> </w:t>
      </w:r>
      <w:r>
        <w:t>recertification</w:t>
      </w:r>
      <w:r>
        <w:rPr>
          <w:spacing w:val="-1"/>
        </w:rPr>
        <w:t xml:space="preserve"> </w:t>
      </w:r>
      <w:r>
        <w:t>practices.</w:t>
      </w:r>
    </w:p>
    <w:p w14:paraId="524B6BFA" w14:textId="77777777" w:rsidR="00451220" w:rsidRDefault="00451220">
      <w:pPr>
        <w:pStyle w:val="BodyText"/>
      </w:pPr>
    </w:p>
    <w:p w14:paraId="327A45FD" w14:textId="77777777" w:rsidR="00451220" w:rsidRDefault="00000000">
      <w:pPr>
        <w:pStyle w:val="BodyText"/>
        <w:ind w:left="155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17DBD188" w14:textId="77777777" w:rsidR="00451220" w:rsidRDefault="00000000">
      <w:pPr>
        <w:pStyle w:val="BodyText"/>
        <w:ind w:left="165" w:right="281" w:hanging="11"/>
      </w:pPr>
      <w:r>
        <w:t>Lack of adequate recertification reviews could lead to unauthorized or unnecessary access that could result in</w:t>
      </w:r>
      <w:r>
        <w:rPr>
          <w:spacing w:val="1"/>
        </w:rPr>
        <w:t xml:space="preserve"> </w:t>
      </w:r>
      <w:r>
        <w:t>unauthorized transaction processing or inappropriate access to personal information.</w:t>
      </w:r>
      <w:r>
        <w:rPr>
          <w:spacing w:val="1"/>
        </w:rPr>
        <w:t xml:space="preserve"> </w:t>
      </w:r>
      <w:r>
        <w:t>The likelihood of this risk</w:t>
      </w:r>
      <w:r>
        <w:rPr>
          <w:spacing w:val="1"/>
        </w:rPr>
        <w:t xml:space="preserve"> </w:t>
      </w:r>
      <w:r>
        <w:t>occurring is medium given the various security group roles and number of users with access to Workday. The</w:t>
      </w:r>
      <w:r>
        <w:rPr>
          <w:spacing w:val="1"/>
        </w:rPr>
        <w:t xml:space="preserve"> </w:t>
      </w:r>
      <w:r>
        <w:t>significance of this risk is low, given the risk is mitigated by the control provided by the initial access request</w:t>
      </w:r>
      <w:r>
        <w:rPr>
          <w:spacing w:val="1"/>
        </w:rPr>
        <w:t xml:space="preserve"> </w:t>
      </w:r>
      <w:r>
        <w:t>approval. Internal Audit reviewed the current user access membership for the noted groups and did not identify any</w:t>
      </w:r>
      <w:r>
        <w:rPr>
          <w:spacing w:val="-52"/>
        </w:rPr>
        <w:t xml:space="preserve"> </w:t>
      </w:r>
      <w:r>
        <w:t>exceptions.</w:t>
      </w:r>
      <w:r>
        <w:rPr>
          <w:spacing w:val="-1"/>
        </w:rPr>
        <w:t xml:space="preserve"> </w:t>
      </w:r>
      <w:r>
        <w:t>As such, this issue is rated low.</w:t>
      </w:r>
    </w:p>
    <w:p w14:paraId="670200FB" w14:textId="77777777" w:rsidR="00451220" w:rsidRDefault="00451220">
      <w:pPr>
        <w:pStyle w:val="BodyText"/>
      </w:pPr>
    </w:p>
    <w:p w14:paraId="52EC8E53" w14:textId="77777777" w:rsidR="00451220" w:rsidRDefault="00000000">
      <w:pPr>
        <w:pStyle w:val="BodyText"/>
        <w:ind w:left="155"/>
      </w:pPr>
      <w:r>
        <w:rPr>
          <w:color w:val="1E487C"/>
        </w:rPr>
        <w:t>Audit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-2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Security</w:t>
      </w:r>
    </w:p>
    <w:p w14:paraId="581CEAA1" w14:textId="77777777" w:rsidR="00451220" w:rsidRDefault="00451220">
      <w:pPr>
        <w:pStyle w:val="BodyText"/>
        <w:spacing w:before="1"/>
      </w:pPr>
    </w:p>
    <w:p w14:paraId="68621294" w14:textId="77777777" w:rsidR="00451220" w:rsidRDefault="00000000">
      <w:pPr>
        <w:pStyle w:val="BodyText"/>
        <w:tabs>
          <w:tab w:val="left" w:pos="5511"/>
        </w:tabs>
        <w:ind w:left="155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156FADC8" w14:textId="77777777" w:rsidR="00451220" w:rsidRDefault="00000000">
      <w:pPr>
        <w:pStyle w:val="BodyText"/>
        <w:tabs>
          <w:tab w:val="left" w:pos="3215"/>
        </w:tabs>
        <w:spacing w:before="53" w:line="506" w:lineRule="exact"/>
        <w:ind w:left="155" w:right="4731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 xml:space="preserve">Issue Target Date: </w:t>
      </w:r>
      <w:r>
        <w:t>02/29/2024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HR-Operations</w:t>
      </w:r>
    </w:p>
    <w:p w14:paraId="786A885A" w14:textId="77777777" w:rsidR="00451220" w:rsidRDefault="00000000">
      <w:pPr>
        <w:pStyle w:val="BodyText"/>
        <w:spacing w:line="199" w:lineRule="exact"/>
        <w:ind w:left="155"/>
      </w:pPr>
      <w:r>
        <w:rPr>
          <w:color w:val="1E487C"/>
        </w:rPr>
        <w:t>Business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Group:</w:t>
      </w:r>
      <w:r>
        <w:rPr>
          <w:color w:val="1E487C"/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Resources</w:t>
      </w:r>
    </w:p>
    <w:p w14:paraId="29FDD577" w14:textId="77777777" w:rsidR="00451220" w:rsidRDefault="00000000">
      <w:pPr>
        <w:pStyle w:val="BodyText"/>
        <w:spacing w:line="252" w:lineRule="exact"/>
        <w:ind w:left="155"/>
      </w:pPr>
      <w:r>
        <w:rPr>
          <w:color w:val="1E487C"/>
        </w:rPr>
        <w:t>Reportable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 xml:space="preserve">Segment: </w:t>
      </w:r>
      <w:r>
        <w:t>Corporate</w:t>
      </w:r>
      <w:r>
        <w:rPr>
          <w:spacing w:val="-2"/>
        </w:rPr>
        <w:t xml:space="preserve"> </w:t>
      </w:r>
      <w:r>
        <w:t>Groups</w:t>
      </w:r>
    </w:p>
    <w:p w14:paraId="09F2F7F2" w14:textId="77777777" w:rsidR="00451220" w:rsidRDefault="00451220">
      <w:pPr>
        <w:spacing w:line="252" w:lineRule="exact"/>
        <w:sectPr w:rsidR="00451220">
          <w:pgSz w:w="12240" w:h="15840"/>
          <w:pgMar w:top="1740" w:right="880" w:bottom="1620" w:left="740" w:header="720" w:footer="1424" w:gutter="0"/>
          <w:cols w:space="720"/>
        </w:sectPr>
      </w:pPr>
    </w:p>
    <w:p w14:paraId="491EBDDB" w14:textId="77777777" w:rsidR="00451220" w:rsidRDefault="00451220">
      <w:pPr>
        <w:pStyle w:val="BodyText"/>
        <w:rPr>
          <w:sz w:val="20"/>
        </w:rPr>
      </w:pPr>
    </w:p>
    <w:p w14:paraId="3B664437" w14:textId="77777777" w:rsidR="00451220" w:rsidRDefault="00451220">
      <w:pPr>
        <w:pStyle w:val="BodyText"/>
        <w:rPr>
          <w:sz w:val="20"/>
        </w:rPr>
      </w:pPr>
    </w:p>
    <w:p w14:paraId="5D53BAA9" w14:textId="77777777" w:rsidR="00451220" w:rsidRDefault="00451220">
      <w:pPr>
        <w:pStyle w:val="BodyText"/>
        <w:rPr>
          <w:sz w:val="20"/>
        </w:rPr>
      </w:pPr>
    </w:p>
    <w:p w14:paraId="702CC693" w14:textId="77777777" w:rsidR="00451220" w:rsidRDefault="00451220">
      <w:pPr>
        <w:pStyle w:val="BodyText"/>
        <w:spacing w:before="5"/>
        <w:rPr>
          <w:sz w:val="10"/>
        </w:rPr>
      </w:pPr>
    </w:p>
    <w:p w14:paraId="00CAE5CD" w14:textId="77777777" w:rsidR="00451220" w:rsidRDefault="00000000">
      <w:pPr>
        <w:pStyle w:val="BodyText"/>
        <w:ind w:left="188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626C74C9">
          <v:shape id="_x0000_s2059" type="#_x0000_t202" style="width:483pt;height:29.95pt;mso-left-percent:-10001;mso-top-percent:-10001;mso-position-horizontal:absolute;mso-position-horizontal-relative:char;mso-position-vertical:absolute;mso-position-vertical-relative:line;mso-left-percent:-10001;mso-top-percent:-10001" fillcolor="#e0e9f4" strokecolor="#375c8a" strokeweight="1.5pt">
            <v:textbox inset="0,0,0,0">
              <w:txbxContent>
                <w:p w14:paraId="02AB54BB" w14:textId="77777777" w:rsidR="00451220" w:rsidRDefault="00000000">
                  <w:pPr>
                    <w:pStyle w:val="BodyText"/>
                    <w:spacing w:before="31"/>
                    <w:ind w:left="-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AC-001096</w:t>
                  </w:r>
                </w:p>
                <w:p w14:paraId="01DE4668" w14:textId="77777777" w:rsidR="00451220" w:rsidRDefault="00000000">
                  <w:pPr>
                    <w:pStyle w:val="BodyText"/>
                    <w:ind w:left="-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Description: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subject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review.</w:t>
                  </w:r>
                </w:p>
              </w:txbxContent>
            </v:textbox>
            <w10:anchorlock/>
          </v:shape>
        </w:pict>
      </w:r>
    </w:p>
    <w:p w14:paraId="02DE8846" w14:textId="77777777" w:rsidR="00451220" w:rsidRDefault="00451220">
      <w:pPr>
        <w:pStyle w:val="BodyText"/>
        <w:spacing w:before="3" w:after="1"/>
        <w:rPr>
          <w:sz w:val="21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4158"/>
        <w:gridCol w:w="2515"/>
      </w:tblGrid>
      <w:tr w:rsidR="00451220" w14:paraId="5F760A33" w14:textId="77777777">
        <w:trPr>
          <w:trHeight w:val="248"/>
        </w:trPr>
        <w:tc>
          <w:tcPr>
            <w:tcW w:w="2258" w:type="dxa"/>
          </w:tcPr>
          <w:p w14:paraId="2E1E8BA5" w14:textId="77777777" w:rsidR="0045122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58" w:type="dxa"/>
          </w:tcPr>
          <w:p w14:paraId="64E01057" w14:textId="77777777" w:rsidR="00451220" w:rsidRDefault="00000000">
            <w:pPr>
              <w:pStyle w:val="TableParagraph"/>
              <w:ind w:left="448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15" w:type="dxa"/>
          </w:tcPr>
          <w:p w14:paraId="02DFD188" w14:textId="77777777" w:rsidR="00451220" w:rsidRDefault="00000000">
            <w:pPr>
              <w:pStyle w:val="TableParagraph"/>
              <w:ind w:left="765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451220" w14:paraId="05DC249A" w14:textId="77777777">
        <w:trPr>
          <w:trHeight w:val="248"/>
        </w:trPr>
        <w:tc>
          <w:tcPr>
            <w:tcW w:w="2258" w:type="dxa"/>
          </w:tcPr>
          <w:p w14:paraId="4E721E6C" w14:textId="77777777" w:rsidR="00451220" w:rsidRDefault="00000000">
            <w:pPr>
              <w:pStyle w:val="TableParagraph"/>
            </w:pPr>
            <w:r>
              <w:t>Kenneth</w:t>
            </w:r>
            <w:r>
              <w:rPr>
                <w:spacing w:val="-2"/>
              </w:rPr>
              <w:t xml:space="preserve"> </w:t>
            </w:r>
            <w:r>
              <w:t>Nevola</w:t>
            </w:r>
          </w:p>
        </w:tc>
        <w:tc>
          <w:tcPr>
            <w:tcW w:w="4158" w:type="dxa"/>
          </w:tcPr>
          <w:p w14:paraId="0B05E230" w14:textId="77777777" w:rsidR="00451220" w:rsidRDefault="00000000">
            <w:pPr>
              <w:pStyle w:val="TableParagraph"/>
              <w:ind w:left="449"/>
            </w:pPr>
            <w:r>
              <w:t>01/31/2024</w:t>
            </w:r>
          </w:p>
        </w:tc>
        <w:tc>
          <w:tcPr>
            <w:tcW w:w="2515" w:type="dxa"/>
          </w:tcPr>
          <w:p w14:paraId="7BC313D1" w14:textId="77777777" w:rsidR="00451220" w:rsidRDefault="00000000">
            <w:pPr>
              <w:pStyle w:val="TableParagraph"/>
              <w:ind w:left="764"/>
            </w:pPr>
            <w:r>
              <w:t>Open</w:t>
            </w:r>
          </w:p>
        </w:tc>
      </w:tr>
    </w:tbl>
    <w:p w14:paraId="6974DC2B" w14:textId="77777777" w:rsidR="00451220" w:rsidRDefault="00000000">
      <w:pPr>
        <w:pStyle w:val="BodyText"/>
        <w:rPr>
          <w:sz w:val="26"/>
        </w:rPr>
      </w:pPr>
      <w:r>
        <w:pict w14:anchorId="75C91CA1">
          <v:shape id="_x0000_s2058" type="#_x0000_t202" style="position:absolute;margin-left:47.2pt;margin-top:17.7pt;width:483pt;height:26.85pt;z-index:-15727616;mso-wrap-distance-left:0;mso-wrap-distance-right:0;mso-position-horizontal-relative:page;mso-position-vertical-relative:text" fillcolor="#e0e9f4" strokecolor="#375c8a" strokeweight="1.5pt">
            <v:textbox inset="0,0,0,0">
              <w:txbxContent>
                <w:p w14:paraId="70020331" w14:textId="77777777" w:rsidR="00451220" w:rsidRDefault="00000000">
                  <w:pPr>
                    <w:pStyle w:val="BodyText"/>
                    <w:ind w:left="-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AC-001097</w:t>
                  </w:r>
                </w:p>
                <w:p w14:paraId="18415947" w14:textId="77777777" w:rsidR="00451220" w:rsidRDefault="00000000">
                  <w:pPr>
                    <w:pStyle w:val="BodyText"/>
                    <w:ind w:left="-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Description: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Security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Groups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determine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owners.</w:t>
                  </w:r>
                </w:p>
              </w:txbxContent>
            </v:textbox>
            <w10:wrap type="topAndBottom" anchorx="page"/>
          </v:shape>
        </w:pict>
      </w:r>
    </w:p>
    <w:p w14:paraId="432F4E9D" w14:textId="77777777" w:rsidR="00451220" w:rsidRDefault="00451220">
      <w:pPr>
        <w:pStyle w:val="BodyText"/>
        <w:spacing w:before="2"/>
        <w:rPr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4158"/>
        <w:gridCol w:w="2513"/>
      </w:tblGrid>
      <w:tr w:rsidR="00451220" w14:paraId="3315050E" w14:textId="77777777">
        <w:trPr>
          <w:trHeight w:val="248"/>
        </w:trPr>
        <w:tc>
          <w:tcPr>
            <w:tcW w:w="2258" w:type="dxa"/>
          </w:tcPr>
          <w:p w14:paraId="08E7B395" w14:textId="77777777" w:rsidR="0045122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58" w:type="dxa"/>
          </w:tcPr>
          <w:p w14:paraId="3BE106BD" w14:textId="77777777" w:rsidR="00451220" w:rsidRDefault="00000000">
            <w:pPr>
              <w:pStyle w:val="TableParagraph"/>
              <w:ind w:left="448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13" w:type="dxa"/>
          </w:tcPr>
          <w:p w14:paraId="42CC4F8F" w14:textId="77777777" w:rsidR="00451220" w:rsidRDefault="00000000">
            <w:pPr>
              <w:pStyle w:val="TableParagraph"/>
              <w:ind w:left="765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451220" w14:paraId="7FAF9529" w14:textId="77777777">
        <w:trPr>
          <w:trHeight w:val="248"/>
        </w:trPr>
        <w:tc>
          <w:tcPr>
            <w:tcW w:w="2258" w:type="dxa"/>
          </w:tcPr>
          <w:p w14:paraId="486FB756" w14:textId="77777777" w:rsidR="00451220" w:rsidRDefault="00000000">
            <w:pPr>
              <w:pStyle w:val="TableParagraph"/>
            </w:pPr>
            <w:r>
              <w:t>Patrick</w:t>
            </w:r>
            <w:r>
              <w:rPr>
                <w:spacing w:val="-1"/>
              </w:rPr>
              <w:t xml:space="preserve"> </w:t>
            </w:r>
            <w:r>
              <w:t>Lynch</w:t>
            </w:r>
          </w:p>
        </w:tc>
        <w:tc>
          <w:tcPr>
            <w:tcW w:w="4158" w:type="dxa"/>
          </w:tcPr>
          <w:p w14:paraId="00D94280" w14:textId="77777777" w:rsidR="00451220" w:rsidRDefault="00000000">
            <w:pPr>
              <w:pStyle w:val="TableParagraph"/>
              <w:ind w:left="450"/>
            </w:pPr>
            <w:r>
              <w:t>01/31/2024</w:t>
            </w:r>
          </w:p>
        </w:tc>
        <w:tc>
          <w:tcPr>
            <w:tcW w:w="2513" w:type="dxa"/>
          </w:tcPr>
          <w:p w14:paraId="29D8DD53" w14:textId="77777777" w:rsidR="00451220" w:rsidRDefault="00000000">
            <w:pPr>
              <w:pStyle w:val="TableParagraph"/>
              <w:ind w:left="766"/>
            </w:pPr>
            <w:r>
              <w:t>Open</w:t>
            </w:r>
          </w:p>
        </w:tc>
      </w:tr>
    </w:tbl>
    <w:p w14:paraId="0DFA53B3" w14:textId="77777777" w:rsidR="00451220" w:rsidRDefault="00451220">
      <w:pPr>
        <w:sectPr w:rsidR="00451220">
          <w:pgSz w:w="12240" w:h="15840"/>
          <w:pgMar w:top="1740" w:right="880" w:bottom="1620" w:left="740" w:header="720" w:footer="1424" w:gutter="0"/>
          <w:cols w:space="720"/>
        </w:sectPr>
      </w:pPr>
    </w:p>
    <w:p w14:paraId="5769B764" w14:textId="77777777" w:rsidR="00451220" w:rsidRDefault="00000000">
      <w:pPr>
        <w:pStyle w:val="BodyText"/>
        <w:rPr>
          <w:sz w:val="20"/>
        </w:rPr>
      </w:pPr>
      <w:r>
        <w:lastRenderedPageBreak/>
        <w:pict w14:anchorId="3F5C55FB">
          <v:shape id="_x0000_s2057" type="#_x0000_t202" style="position:absolute;margin-left:52.45pt;margin-top:126.05pt;width:507.8pt;height:39.5pt;z-index:-15937024;mso-position-horizontal-relative:page;mso-position-vertical-relative:page" fillcolor="#95b3d7" strokecolor="#375c8a" strokeweight="1.5pt">
            <v:textbox inset="0,0,0,0">
              <w:txbxContent>
                <w:p w14:paraId="1B265D3D" w14:textId="77777777" w:rsidR="00451220" w:rsidRDefault="00451220">
                  <w:pPr>
                    <w:pStyle w:val="BodyText"/>
                  </w:pPr>
                </w:p>
                <w:p w14:paraId="29D3BDB6" w14:textId="77777777" w:rsidR="00451220" w:rsidRDefault="00000000">
                  <w:pPr>
                    <w:pStyle w:val="BodyText"/>
                    <w:ind w:left="39" w:right="394" w:hanging="10"/>
                  </w:pPr>
                  <w:r>
                    <w:rPr>
                      <w:color w:val="1E487C"/>
                    </w:rPr>
                    <w:t xml:space="preserve">Issue Name: </w:t>
                  </w:r>
                  <w:r>
                    <w:t>Enhancements to the payroll cycle monitoring and variance analysis control are needed to ensure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adequate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segregation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duties exists between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preparer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reviewer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information.</w:t>
                  </w:r>
                </w:p>
              </w:txbxContent>
            </v:textbox>
            <w10:wrap anchorx="page" anchory="page"/>
          </v:shape>
        </w:pict>
      </w:r>
    </w:p>
    <w:p w14:paraId="0DAD6E78" w14:textId="77777777" w:rsidR="00451220" w:rsidRDefault="00451220">
      <w:pPr>
        <w:pStyle w:val="BodyText"/>
        <w:rPr>
          <w:sz w:val="20"/>
        </w:rPr>
      </w:pPr>
    </w:p>
    <w:p w14:paraId="51739DBA" w14:textId="77777777" w:rsidR="00451220" w:rsidRDefault="00451220">
      <w:pPr>
        <w:pStyle w:val="BodyText"/>
        <w:spacing w:before="8"/>
        <w:rPr>
          <w:sz w:val="20"/>
        </w:rPr>
      </w:pPr>
    </w:p>
    <w:p w14:paraId="5B76C1E2" w14:textId="77777777" w:rsidR="00451220" w:rsidRDefault="00000000">
      <w:pPr>
        <w:pStyle w:val="BodyText"/>
        <w:spacing w:before="90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75F8E8B8" w14:textId="77777777" w:rsidR="00451220" w:rsidRDefault="00000000">
      <w:pPr>
        <w:pStyle w:val="BodyText"/>
        <w:spacing w:before="1"/>
        <w:ind w:left="324" w:right="195" w:hanging="1"/>
      </w:pPr>
      <w:r>
        <w:t>On a monthly basis, the Human Resources (HR) Director generates bi-weekly trend analysis reports from the</w:t>
      </w:r>
      <w:r>
        <w:rPr>
          <w:spacing w:val="1"/>
        </w:rPr>
        <w:t xml:space="preserve"> </w:t>
      </w:r>
      <w:r>
        <w:t>Workday application to detect any significant fluctuations between payroll payments issued during the pay-cycles.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Workday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controls.</w:t>
      </w:r>
    </w:p>
    <w:p w14:paraId="6904D114" w14:textId="77777777" w:rsidR="00451220" w:rsidRDefault="00000000">
      <w:pPr>
        <w:pStyle w:val="BodyText"/>
        <w:ind w:left="335" w:right="283"/>
      </w:pPr>
      <w:r>
        <w:t>However, the Director performing the review also inserts a minor calculation of the gross and net pay variances</w:t>
      </w:r>
      <w:r>
        <w:rPr>
          <w:spacing w:val="1"/>
        </w:rPr>
        <w:t xml:space="preserve"> </w:t>
      </w:r>
      <w:r>
        <w:t>and there is no additional review of the variance report after the Director’s preparation and review is completed.</w:t>
      </w:r>
      <w:r>
        <w:rPr>
          <w:spacing w:val="1"/>
        </w:rPr>
        <w:t xml:space="preserve"> </w:t>
      </w:r>
      <w:r>
        <w:t>While the variance computation is not complex, this variance analysis is used to review the reasonability of</w:t>
      </w:r>
      <w:r>
        <w:rPr>
          <w:spacing w:val="1"/>
        </w:rPr>
        <w:t xml:space="preserve"> </w:t>
      </w:r>
      <w:r>
        <w:t>payroll payments and it is important that a clear segregation of duties exists between the preparer and reviewer of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 report.</w:t>
      </w:r>
    </w:p>
    <w:p w14:paraId="78D5DE61" w14:textId="77777777" w:rsidR="00451220" w:rsidRDefault="00451220">
      <w:pPr>
        <w:pStyle w:val="BodyText"/>
      </w:pPr>
    </w:p>
    <w:p w14:paraId="3FC12194" w14:textId="77777777" w:rsidR="00451220" w:rsidRDefault="00000000">
      <w:pPr>
        <w:pStyle w:val="BodyText"/>
        <w:spacing w:line="252" w:lineRule="exact"/>
        <w:ind w:left="324"/>
      </w:pPr>
      <w:r>
        <w:rPr>
          <w:color w:val="1E487C"/>
        </w:rPr>
        <w:t>Root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Cause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Explanation:</w:t>
      </w:r>
    </w:p>
    <w:p w14:paraId="6F320BCC" w14:textId="77777777" w:rsidR="00451220" w:rsidRDefault="00000000">
      <w:pPr>
        <w:pStyle w:val="BodyText"/>
        <w:ind w:left="335" w:right="471" w:hanging="11"/>
      </w:pPr>
      <w:r>
        <w:t>The root cause stems from the fact that the standard report from Workday does not provide sufficient analytical</w:t>
      </w:r>
      <w:r>
        <w:rPr>
          <w:spacing w:val="-52"/>
        </w:rPr>
        <w:t xml:space="preserve"> </w:t>
      </w:r>
      <w:r>
        <w:t>support and reliance on the subject matter expertise of the HR Director to modify the report in addition to</w:t>
      </w:r>
      <w:r>
        <w:rPr>
          <w:spacing w:val="1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the review.</w:t>
      </w:r>
    </w:p>
    <w:p w14:paraId="6DFB7390" w14:textId="77777777" w:rsidR="00451220" w:rsidRDefault="00451220">
      <w:pPr>
        <w:pStyle w:val="BodyText"/>
        <w:spacing w:before="1"/>
      </w:pPr>
    </w:p>
    <w:p w14:paraId="628D4F3A" w14:textId="77777777" w:rsidR="00451220" w:rsidRDefault="00000000">
      <w:pPr>
        <w:pStyle w:val="BodyText"/>
        <w:spacing w:line="252" w:lineRule="exact"/>
        <w:ind w:left="324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62253DE8" w14:textId="77777777" w:rsidR="00451220" w:rsidRDefault="00000000">
      <w:pPr>
        <w:pStyle w:val="BodyText"/>
        <w:ind w:left="335" w:right="281" w:hanging="11"/>
      </w:pPr>
      <w:r>
        <w:t>A lack of segregation of duties between a preparer and reviewer increases the likelihood of management not</w:t>
      </w:r>
      <w:r>
        <w:rPr>
          <w:spacing w:val="1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manner,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inaccurate payroll processing being undetected. The likelihood of this risk occurring is low given that the</w:t>
      </w:r>
      <w:r>
        <w:rPr>
          <w:spacing w:val="1"/>
        </w:rPr>
        <w:t xml:space="preserve"> </w:t>
      </w:r>
      <w:r>
        <w:t>calculation is simple, and IA confirmed that all variances were accurately calculated. The significance is low as</w:t>
      </w:r>
      <w:r>
        <w:rPr>
          <w:spacing w:val="1"/>
        </w:rPr>
        <w:t xml:space="preserve"> </w:t>
      </w:r>
      <w:r>
        <w:t>all variances were adequately explained by management and no exceptions were identified by IA’s testing. As a</w:t>
      </w:r>
      <w:r>
        <w:rPr>
          <w:spacing w:val="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 issue is rated low.</w:t>
      </w:r>
    </w:p>
    <w:p w14:paraId="49C4E551" w14:textId="77777777" w:rsidR="00451220" w:rsidRDefault="00451220">
      <w:pPr>
        <w:pStyle w:val="BodyText"/>
        <w:spacing w:before="11"/>
        <w:rPr>
          <w:sz w:val="21"/>
        </w:rPr>
      </w:pPr>
    </w:p>
    <w:p w14:paraId="219E2DD1" w14:textId="77777777" w:rsidR="00451220" w:rsidRDefault="00000000">
      <w:pPr>
        <w:pStyle w:val="BodyText"/>
        <w:ind w:left="324"/>
      </w:pPr>
      <w:r>
        <w:rPr>
          <w:color w:val="1E487C"/>
        </w:rPr>
        <w:t>Audit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-2"/>
        </w:rPr>
        <w:t xml:space="preserve"> </w:t>
      </w:r>
      <w:r>
        <w:t>12.</w:t>
      </w:r>
      <w:r>
        <w:rPr>
          <w:spacing w:val="-2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Trading</w:t>
      </w:r>
    </w:p>
    <w:p w14:paraId="4C507927" w14:textId="77777777" w:rsidR="00451220" w:rsidRDefault="00451220">
      <w:pPr>
        <w:pStyle w:val="BodyText"/>
      </w:pPr>
    </w:p>
    <w:p w14:paraId="464498EC" w14:textId="77777777" w:rsidR="00451220" w:rsidRDefault="00000000">
      <w:pPr>
        <w:pStyle w:val="BodyText"/>
        <w:tabs>
          <w:tab w:val="left" w:pos="5694"/>
        </w:tabs>
        <w:spacing w:before="1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50AB61B6" w14:textId="77777777" w:rsidR="00451220" w:rsidRDefault="00000000">
      <w:pPr>
        <w:pStyle w:val="BodyText"/>
        <w:tabs>
          <w:tab w:val="left" w:pos="3384"/>
        </w:tabs>
        <w:spacing w:before="52" w:line="506" w:lineRule="exact"/>
        <w:ind w:left="324" w:right="4562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>Issue Target Date: 0</w:t>
      </w:r>
      <w:r>
        <w:t>5/31/2024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HR-Operations</w:t>
      </w:r>
    </w:p>
    <w:p w14:paraId="59D06400" w14:textId="77777777" w:rsidR="00451220" w:rsidRDefault="00000000">
      <w:pPr>
        <w:pStyle w:val="BodyText"/>
        <w:spacing w:line="200" w:lineRule="exact"/>
        <w:ind w:left="324"/>
      </w:pPr>
      <w:r>
        <w:rPr>
          <w:color w:val="1E487C"/>
        </w:rPr>
        <w:t>Business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Group:</w:t>
      </w:r>
      <w:r>
        <w:rPr>
          <w:color w:val="1E487C"/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Resources</w:t>
      </w:r>
    </w:p>
    <w:p w14:paraId="2A992885" w14:textId="77777777" w:rsidR="00451220" w:rsidRDefault="00000000">
      <w:pPr>
        <w:pStyle w:val="BodyText"/>
        <w:spacing w:before="1"/>
        <w:ind w:left="324"/>
      </w:pPr>
      <w:r>
        <w:rPr>
          <w:color w:val="1E487C"/>
        </w:rPr>
        <w:t>Reportable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 xml:space="preserve">Segment: </w:t>
      </w:r>
      <w:r>
        <w:t>Corporate</w:t>
      </w:r>
      <w:r>
        <w:rPr>
          <w:spacing w:val="-2"/>
        </w:rPr>
        <w:t xml:space="preserve"> </w:t>
      </w:r>
      <w:r>
        <w:t>Groups</w:t>
      </w:r>
    </w:p>
    <w:p w14:paraId="50B44BF5" w14:textId="77777777" w:rsidR="00451220" w:rsidRDefault="00000000">
      <w:pPr>
        <w:pStyle w:val="BodyText"/>
        <w:spacing w:before="6"/>
        <w:rPr>
          <w:sz w:val="18"/>
        </w:rPr>
      </w:pPr>
      <w:r>
        <w:pict w14:anchorId="545B6403">
          <v:shape id="_x0000_s2056" type="#_x0000_t202" style="position:absolute;margin-left:55.65pt;margin-top:13.35pt;width:483pt;height:39.5pt;z-index:-15727104;mso-wrap-distance-left:0;mso-wrap-distance-right:0;mso-position-horizontal-relative:page" fillcolor="#e0e9f4" strokecolor="#375c8a" strokeweight="1.5pt">
            <v:textbox inset="0,0,0,0">
              <w:txbxContent>
                <w:p w14:paraId="15EB816F" w14:textId="77777777" w:rsidR="00451220" w:rsidRDefault="00000000">
                  <w:pPr>
                    <w:pStyle w:val="BodyText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AC-001157</w:t>
                  </w:r>
                </w:p>
                <w:p w14:paraId="06D14576" w14:textId="77777777" w:rsidR="00451220" w:rsidRDefault="00000000">
                  <w:pPr>
                    <w:pStyle w:val="BodyText"/>
                    <w:ind w:right="537"/>
                  </w:pPr>
                  <w:r>
                    <w:rPr>
                      <w:color w:val="1E487C"/>
                    </w:rPr>
                    <w:t xml:space="preserve">Action Plan Description: </w:t>
                  </w:r>
                  <w:r>
                    <w:t>Include a reviewer going forward to ensure segregation of duties or adjust 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report to include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 systematic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calculation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the </w:t>
                  </w:r>
                  <w:proofErr w:type="gramStart"/>
                  <w:r>
                    <w:t>variances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FD2E772" w14:textId="77777777" w:rsidR="00451220" w:rsidRDefault="00451220">
      <w:pPr>
        <w:pStyle w:val="BodyText"/>
        <w:spacing w:before="3"/>
        <w:rPr>
          <w:sz w:val="20"/>
        </w:rPr>
      </w:pPr>
    </w:p>
    <w:tbl>
      <w:tblPr>
        <w:tblW w:w="0" w:type="auto"/>
        <w:tblInd w:w="2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4128"/>
        <w:gridCol w:w="2538"/>
      </w:tblGrid>
      <w:tr w:rsidR="00451220" w14:paraId="4BF8E747" w14:textId="77777777">
        <w:trPr>
          <w:trHeight w:val="247"/>
        </w:trPr>
        <w:tc>
          <w:tcPr>
            <w:tcW w:w="2201" w:type="dxa"/>
          </w:tcPr>
          <w:p w14:paraId="4905DA67" w14:textId="77777777" w:rsidR="0045122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28" w:type="dxa"/>
          </w:tcPr>
          <w:p w14:paraId="00988108" w14:textId="77777777" w:rsidR="00451220" w:rsidRDefault="00000000">
            <w:pPr>
              <w:pStyle w:val="TableParagraph"/>
              <w:ind w:left="392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38" w:type="dxa"/>
          </w:tcPr>
          <w:p w14:paraId="759ABAB0" w14:textId="77777777" w:rsidR="00451220" w:rsidRDefault="00000000">
            <w:pPr>
              <w:pStyle w:val="TableParagraph"/>
              <w:ind w:left="790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451220" w14:paraId="414CBCCF" w14:textId="77777777">
        <w:trPr>
          <w:trHeight w:val="247"/>
        </w:trPr>
        <w:tc>
          <w:tcPr>
            <w:tcW w:w="2201" w:type="dxa"/>
          </w:tcPr>
          <w:p w14:paraId="26CD5F0B" w14:textId="77777777" w:rsidR="00451220" w:rsidRDefault="00000000">
            <w:pPr>
              <w:pStyle w:val="TableParagraph"/>
              <w:ind w:left="65"/>
            </w:pPr>
            <w:r>
              <w:t>Karine</w:t>
            </w:r>
            <w:r>
              <w:rPr>
                <w:spacing w:val="-1"/>
              </w:rPr>
              <w:t xml:space="preserve"> </w:t>
            </w:r>
            <w:r>
              <w:t>Lewis</w:t>
            </w:r>
          </w:p>
        </w:tc>
        <w:tc>
          <w:tcPr>
            <w:tcW w:w="4128" w:type="dxa"/>
          </w:tcPr>
          <w:p w14:paraId="2FC3F114" w14:textId="77777777" w:rsidR="00451220" w:rsidRDefault="00000000">
            <w:pPr>
              <w:pStyle w:val="TableParagraph"/>
              <w:ind w:left="746"/>
            </w:pPr>
            <w:r>
              <w:t>04/30/2024</w:t>
            </w:r>
          </w:p>
        </w:tc>
        <w:tc>
          <w:tcPr>
            <w:tcW w:w="2538" w:type="dxa"/>
          </w:tcPr>
          <w:p w14:paraId="0B045C11" w14:textId="77777777" w:rsidR="00451220" w:rsidRDefault="00000000">
            <w:pPr>
              <w:pStyle w:val="TableParagraph"/>
              <w:ind w:left="918" w:right="1103"/>
              <w:jc w:val="center"/>
            </w:pPr>
            <w:r>
              <w:t>Open</w:t>
            </w:r>
          </w:p>
        </w:tc>
      </w:tr>
    </w:tbl>
    <w:p w14:paraId="37F439BA" w14:textId="77777777" w:rsidR="00451220" w:rsidRDefault="00451220">
      <w:pPr>
        <w:jc w:val="center"/>
        <w:sectPr w:rsidR="00451220">
          <w:headerReference w:type="default" r:id="rId10"/>
          <w:footerReference w:type="default" r:id="rId11"/>
          <w:pgSz w:w="12240" w:h="15840"/>
          <w:pgMar w:top="2780" w:right="880" w:bottom="2100" w:left="740" w:header="984" w:footer="1908" w:gutter="0"/>
          <w:cols w:space="720"/>
        </w:sectPr>
      </w:pPr>
    </w:p>
    <w:p w14:paraId="2F5756F5" w14:textId="77777777" w:rsidR="00451220" w:rsidRDefault="00000000">
      <w:pPr>
        <w:pStyle w:val="BodyText"/>
        <w:rPr>
          <w:sz w:val="20"/>
        </w:rPr>
      </w:pPr>
      <w:r>
        <w:lastRenderedPageBreak/>
        <w:pict w14:anchorId="51189B29">
          <v:shape id="_x0000_s2055" type="#_x0000_t202" style="position:absolute;margin-left:52.45pt;margin-top:126.05pt;width:507.8pt;height:26.85pt;z-index:-15936512;mso-position-horizontal-relative:page;mso-position-vertical-relative:page" fillcolor="#95b3d7" strokecolor="#375c8a" strokeweight="1.5pt">
            <v:textbox inset="0,0,0,0">
              <w:txbxContent>
                <w:p w14:paraId="4D06C79B" w14:textId="77777777" w:rsidR="00451220" w:rsidRDefault="00451220">
                  <w:pPr>
                    <w:pStyle w:val="BodyText"/>
                  </w:pPr>
                </w:p>
                <w:p w14:paraId="18246418" w14:textId="77777777" w:rsidR="00451220" w:rsidRDefault="00000000">
                  <w:pPr>
                    <w:pStyle w:val="BodyText"/>
                    <w:ind w:left="30"/>
                  </w:pPr>
                  <w:r>
                    <w:rPr>
                      <w:color w:val="1E487C"/>
                    </w:rPr>
                    <w:t>Issue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Name: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completed.</w:t>
                  </w:r>
                </w:p>
              </w:txbxContent>
            </v:textbox>
            <w10:wrap anchorx="page" anchory="page"/>
          </v:shape>
        </w:pict>
      </w:r>
    </w:p>
    <w:p w14:paraId="44AFCC4C" w14:textId="77777777" w:rsidR="00451220" w:rsidRDefault="00451220">
      <w:pPr>
        <w:pStyle w:val="BodyText"/>
        <w:spacing w:before="9"/>
        <w:rPr>
          <w:sz w:val="18"/>
        </w:rPr>
      </w:pPr>
    </w:p>
    <w:p w14:paraId="273D4A8A" w14:textId="77777777" w:rsidR="00451220" w:rsidRDefault="00000000">
      <w:pPr>
        <w:pStyle w:val="BodyText"/>
        <w:spacing w:before="90" w:line="252" w:lineRule="exact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75615C2F" w14:textId="77777777" w:rsidR="00451220" w:rsidRDefault="00000000">
      <w:pPr>
        <w:pStyle w:val="BodyText"/>
        <w:spacing w:line="244" w:lineRule="auto"/>
        <w:ind w:left="324" w:right="274"/>
      </w:pPr>
      <w:r>
        <w:t>Global Technology (GT) Enterprise Workforce Solutions team is responsible for supporting the Workday Human</w:t>
      </w:r>
      <w:r>
        <w:rPr>
          <w:spacing w:val="-52"/>
        </w:rPr>
        <w:t xml:space="preserve"> </w:t>
      </w:r>
      <w:r>
        <w:t>Resource (HR) application, which includes providing maintenance of payroll related data transfers to and from</w:t>
      </w:r>
      <w:r>
        <w:rPr>
          <w:spacing w:val="1"/>
        </w:rPr>
        <w:t xml:space="preserve"> </w:t>
      </w:r>
      <w:r>
        <w:t>Workday and several internal and external data sources (e.g., Enterprise Accounting Facility - EAF, ABC Com-</w:t>
      </w:r>
      <w:r>
        <w:rPr>
          <w:spacing w:val="1"/>
        </w:rPr>
        <w:t xml:space="preserve"> </w:t>
      </w:r>
      <w:proofErr w:type="spellStart"/>
      <w:r>
        <w:t>pany</w:t>
      </w:r>
      <w:proofErr w:type="spellEnd"/>
      <w:r>
        <w:t xml:space="preserve"> Advanced Compensation Engine – PACE, E-TRADE). Currently, the Workday application has 38 </w:t>
      </w:r>
      <w:proofErr w:type="spellStart"/>
      <w:r>
        <w:t>produc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proofErr w:type="gramStart"/>
      <w:r>
        <w:t>tion</w:t>
      </w:r>
      <w:proofErr w:type="spellEnd"/>
      <w:proofErr w:type="gramEnd"/>
    </w:p>
    <w:p w14:paraId="331A5EED" w14:textId="77777777" w:rsidR="00451220" w:rsidRDefault="00000000">
      <w:pPr>
        <w:pStyle w:val="BodyText"/>
        <w:spacing w:line="244" w:lineRule="exact"/>
        <w:ind w:left="335"/>
      </w:pPr>
      <w:r>
        <w:t>data</w:t>
      </w:r>
      <w:r>
        <w:rPr>
          <w:spacing w:val="-2"/>
        </w:rPr>
        <w:t xml:space="preserve"> </w:t>
      </w:r>
      <w:r>
        <w:t>transfers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place.</w:t>
      </w:r>
    </w:p>
    <w:p w14:paraId="15B87AA6" w14:textId="77777777" w:rsidR="00451220" w:rsidRDefault="00451220">
      <w:pPr>
        <w:pStyle w:val="BodyText"/>
        <w:spacing w:before="10"/>
        <w:rPr>
          <w:sz w:val="21"/>
        </w:rPr>
      </w:pPr>
    </w:p>
    <w:p w14:paraId="6145EFE5" w14:textId="77777777" w:rsidR="00451220" w:rsidRDefault="00000000">
      <w:pPr>
        <w:pStyle w:val="BodyText"/>
        <w:spacing w:before="1"/>
        <w:ind w:left="335" w:right="214" w:hanging="11"/>
      </w:pPr>
      <w:r>
        <w:t>A standard Interface Control Document (ICD) is a key artifact for data transfers and is used to document key</w:t>
      </w:r>
      <w:r>
        <w:rPr>
          <w:spacing w:val="1"/>
        </w:rPr>
        <w:t xml:space="preserve"> </w:t>
      </w:r>
      <w:r>
        <w:t>details for various types of data exchanges such as file transmission. The intent of ICD documentation is to ensure</w:t>
      </w:r>
      <w:r>
        <w:rPr>
          <w:spacing w:val="-52"/>
        </w:rPr>
        <w:t xml:space="preserve"> </w:t>
      </w:r>
      <w:r>
        <w:t>that the information is being transmitted in an accurate, secure, and complete manner. An ICD includes the design</w:t>
      </w:r>
      <w:r>
        <w:rPr>
          <w:spacing w:val="-52"/>
        </w:rPr>
        <w:t xml:space="preserve"> </w:t>
      </w:r>
      <w:r>
        <w:t>of the interface, the required approvals from the business and technology owners of the sending and receiving</w:t>
      </w:r>
      <w:r>
        <w:rPr>
          <w:spacing w:val="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key information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transmittal</w:t>
      </w:r>
      <w:r>
        <w:rPr>
          <w:spacing w:val="-1"/>
        </w:rPr>
        <w:t xml:space="preserve"> </w:t>
      </w:r>
      <w:r>
        <w:t>procedures, security,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handling, recovery).</w:t>
      </w:r>
    </w:p>
    <w:p w14:paraId="531109DE" w14:textId="77777777" w:rsidR="00451220" w:rsidRDefault="00451220">
      <w:pPr>
        <w:pStyle w:val="BodyText"/>
      </w:pPr>
    </w:p>
    <w:p w14:paraId="4FB47625" w14:textId="77777777" w:rsidR="00451220" w:rsidRDefault="00000000">
      <w:pPr>
        <w:pStyle w:val="BodyText"/>
        <w:ind w:left="335" w:right="179" w:hanging="11"/>
      </w:pPr>
      <w:r>
        <w:t>Internal</w:t>
      </w:r>
      <w:r>
        <w:rPr>
          <w:spacing w:val="-2"/>
        </w:rPr>
        <w:t xml:space="preserve"> </w:t>
      </w:r>
      <w:r>
        <w:t>Audit’s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Workday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PACE,</w:t>
      </w:r>
      <w:r>
        <w:rPr>
          <w:spacing w:val="-2"/>
        </w:rPr>
        <w:t xml:space="preserve"> </w:t>
      </w:r>
      <w:r>
        <w:t>E-</w:t>
      </w:r>
      <w:r>
        <w:rPr>
          <w:spacing w:val="-52"/>
        </w:rPr>
        <w:t xml:space="preserve"> </w:t>
      </w:r>
      <w:r>
        <w:t xml:space="preserve">TRADE, </w:t>
      </w:r>
      <w:proofErr w:type="spellStart"/>
      <w:r>
        <w:t>WorkHuman</w:t>
      </w:r>
      <w:proofErr w:type="spellEnd"/>
      <w:r>
        <w:t>, MSS) identified that the ICDs were not finalized or approved by management of the</w:t>
      </w:r>
      <w:r>
        <w:rPr>
          <w:spacing w:val="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and sending applications.</w:t>
      </w:r>
    </w:p>
    <w:p w14:paraId="592543E1" w14:textId="77777777" w:rsidR="00451220" w:rsidRDefault="00000000">
      <w:pPr>
        <w:pStyle w:val="BodyText"/>
        <w:spacing w:line="237" w:lineRule="exact"/>
        <w:ind w:left="324"/>
      </w:pPr>
      <w:r>
        <w:rPr>
          <w:color w:val="1E487C"/>
        </w:rPr>
        <w:t>Root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Cause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Explanation:</w:t>
      </w:r>
    </w:p>
    <w:p w14:paraId="05A9F1CC" w14:textId="77777777" w:rsidR="00451220" w:rsidRDefault="00000000">
      <w:pPr>
        <w:pStyle w:val="BodyText"/>
        <w:ind w:left="335" w:right="216" w:hanging="11"/>
        <w:jc w:val="both"/>
      </w:pPr>
      <w:r>
        <w:t>The root cause can be attributed to the transition during the Workday application implementation in 2020 from the</w:t>
      </w:r>
      <w:r>
        <w:rPr>
          <w:spacing w:val="-52"/>
        </w:rPr>
        <w:t xml:space="preserve"> </w:t>
      </w:r>
      <w:r>
        <w:t>consulting deployment team to the Alight vendor, which currently provides system support to the application, and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documentation was not</w:t>
      </w:r>
      <w:r>
        <w:rPr>
          <w:spacing w:val="-1"/>
        </w:rPr>
        <w:t xml:space="preserve"> </w:t>
      </w:r>
      <w:r>
        <w:t>finalized during the transition.</w:t>
      </w:r>
    </w:p>
    <w:p w14:paraId="63ADD787" w14:textId="77777777" w:rsidR="00451220" w:rsidRDefault="00451220">
      <w:pPr>
        <w:pStyle w:val="BodyText"/>
        <w:spacing w:before="1"/>
      </w:pPr>
    </w:p>
    <w:p w14:paraId="1F324DA1" w14:textId="77777777" w:rsidR="00451220" w:rsidRDefault="00000000">
      <w:pPr>
        <w:pStyle w:val="BodyText"/>
        <w:spacing w:line="252" w:lineRule="exact"/>
        <w:ind w:left="324"/>
        <w:jc w:val="both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67D8EF6E" w14:textId="77777777" w:rsidR="00451220" w:rsidRDefault="00000000">
      <w:pPr>
        <w:pStyle w:val="BodyText"/>
        <w:ind w:left="335" w:right="255" w:hanging="11"/>
        <w:jc w:val="both"/>
      </w:pPr>
      <w:r>
        <w:t>Although documentation of the data interfaces is incomplete, IA sampled four data interfaces and verified that the</w:t>
      </w:r>
      <w:r>
        <w:rPr>
          <w:spacing w:val="-52"/>
        </w:rPr>
        <w:t xml:space="preserve"> </w:t>
      </w:r>
      <w:r>
        <w:t>features of the interfaces (e.g., completeness and accuracy checks, error handling) are operating effectively in line</w:t>
      </w:r>
      <w:r>
        <w:rPr>
          <w:spacing w:val="-52"/>
        </w:rPr>
        <w:t xml:space="preserve"> </w:t>
      </w:r>
      <w:r>
        <w:t>with the System Development Life Cycle controls. Given these mitigating factors, the significance of this issue is</w:t>
      </w:r>
      <w:r>
        <w:rPr>
          <w:spacing w:val="-52"/>
        </w:rPr>
        <w:t xml:space="preserve"> </w:t>
      </w:r>
      <w:r>
        <w:t>low.</w:t>
      </w:r>
      <w:r>
        <w:rPr>
          <w:spacing w:val="-1"/>
        </w:rPr>
        <w:t xml:space="preserve"> </w:t>
      </w:r>
      <w:r>
        <w:t>As a result, the issue is</w:t>
      </w:r>
      <w:r>
        <w:rPr>
          <w:spacing w:val="-1"/>
        </w:rPr>
        <w:t xml:space="preserve"> </w:t>
      </w:r>
      <w:r>
        <w:t>rated low.</w:t>
      </w:r>
    </w:p>
    <w:p w14:paraId="086635EB" w14:textId="77777777" w:rsidR="00451220" w:rsidRDefault="00451220">
      <w:pPr>
        <w:pStyle w:val="BodyText"/>
        <w:spacing w:before="11"/>
        <w:rPr>
          <w:sz w:val="21"/>
        </w:rPr>
      </w:pPr>
    </w:p>
    <w:p w14:paraId="542F1B83" w14:textId="77777777" w:rsidR="00451220" w:rsidRDefault="00000000">
      <w:pPr>
        <w:pStyle w:val="BodyText"/>
        <w:ind w:left="324"/>
        <w:jc w:val="both"/>
      </w:pPr>
      <w:r>
        <w:rPr>
          <w:color w:val="1E487C"/>
        </w:rPr>
        <w:t>Audit</w:t>
      </w:r>
      <w:r>
        <w:rPr>
          <w:color w:val="1E487C"/>
          <w:spacing w:val="-3"/>
        </w:rPr>
        <w:t xml:space="preserve"> </w:t>
      </w: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</w:p>
    <w:p w14:paraId="2E3F51B3" w14:textId="77777777" w:rsidR="00451220" w:rsidRDefault="00451220">
      <w:pPr>
        <w:pStyle w:val="BodyText"/>
      </w:pPr>
    </w:p>
    <w:p w14:paraId="4E2E0316" w14:textId="77777777" w:rsidR="00451220" w:rsidRDefault="00000000">
      <w:pPr>
        <w:pStyle w:val="BodyText"/>
        <w:tabs>
          <w:tab w:val="left" w:pos="5681"/>
        </w:tabs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563952A2" w14:textId="77777777" w:rsidR="00451220" w:rsidRDefault="00000000">
      <w:pPr>
        <w:pStyle w:val="BodyText"/>
        <w:tabs>
          <w:tab w:val="left" w:pos="3384"/>
        </w:tabs>
        <w:spacing w:before="7" w:line="500" w:lineRule="atLeast"/>
        <w:ind w:left="324" w:right="4562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 xml:space="preserve">Issue Target Date: </w:t>
      </w:r>
      <w:r>
        <w:t>07/31/2024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HR-Operations</w:t>
      </w:r>
    </w:p>
    <w:p w14:paraId="7024036A" w14:textId="77777777" w:rsidR="00451220" w:rsidRDefault="00000000">
      <w:pPr>
        <w:pStyle w:val="BodyText"/>
        <w:spacing w:before="5"/>
        <w:ind w:left="324" w:right="6803"/>
      </w:pPr>
      <w:r>
        <w:rPr>
          <w:color w:val="1E487C"/>
        </w:rPr>
        <w:t xml:space="preserve">Business Group: </w:t>
      </w:r>
      <w:r>
        <w:t>Human Resources</w:t>
      </w:r>
      <w:r>
        <w:rPr>
          <w:spacing w:val="1"/>
        </w:rPr>
        <w:t xml:space="preserve"> </w:t>
      </w:r>
      <w:r>
        <w:rPr>
          <w:color w:val="1E487C"/>
        </w:rPr>
        <w:t>Reportable</w:t>
      </w:r>
      <w:r>
        <w:rPr>
          <w:color w:val="1E487C"/>
          <w:spacing w:val="-6"/>
        </w:rPr>
        <w:t xml:space="preserve"> </w:t>
      </w:r>
      <w:r>
        <w:rPr>
          <w:color w:val="1E487C"/>
        </w:rPr>
        <w:t>Segment:</w:t>
      </w:r>
      <w:r>
        <w:rPr>
          <w:color w:val="1E487C"/>
          <w:spacing w:val="-5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Groups</w:t>
      </w:r>
    </w:p>
    <w:p w14:paraId="30A3EF4C" w14:textId="77777777" w:rsidR="00451220" w:rsidRDefault="00451220">
      <w:pPr>
        <w:sectPr w:rsidR="00451220">
          <w:headerReference w:type="default" r:id="rId12"/>
          <w:footerReference w:type="default" r:id="rId13"/>
          <w:pgSz w:w="12240" w:h="15840"/>
          <w:pgMar w:top="2780" w:right="880" w:bottom="2100" w:left="740" w:header="984" w:footer="1908" w:gutter="0"/>
          <w:cols w:space="720"/>
        </w:sectPr>
      </w:pPr>
    </w:p>
    <w:p w14:paraId="1C1FFEC5" w14:textId="77777777" w:rsidR="00451220" w:rsidRDefault="00451220">
      <w:pPr>
        <w:pStyle w:val="BodyText"/>
        <w:rPr>
          <w:sz w:val="20"/>
        </w:rPr>
      </w:pPr>
    </w:p>
    <w:p w14:paraId="127D7BF9" w14:textId="77777777" w:rsidR="00451220" w:rsidRDefault="00451220">
      <w:pPr>
        <w:pStyle w:val="BodyText"/>
        <w:rPr>
          <w:sz w:val="20"/>
        </w:rPr>
      </w:pPr>
    </w:p>
    <w:p w14:paraId="7309BFF8" w14:textId="77777777" w:rsidR="00451220" w:rsidRDefault="00451220">
      <w:pPr>
        <w:pStyle w:val="BodyText"/>
        <w:rPr>
          <w:sz w:val="23"/>
        </w:rPr>
      </w:pPr>
    </w:p>
    <w:p w14:paraId="581675FE" w14:textId="77777777" w:rsidR="00451220" w:rsidRDefault="00000000">
      <w:pPr>
        <w:pStyle w:val="BodyText"/>
        <w:ind w:left="39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3D5EC429">
          <v:shape id="_x0000_s2054" type="#_x0000_t202" style="width:481.4pt;height:128pt;mso-left-percent:-10001;mso-top-percent:-10001;mso-position-horizontal:absolute;mso-position-horizontal-relative:char;mso-position-vertical:absolute;mso-position-vertical-relative:line;mso-left-percent:-10001;mso-top-percent:-10001" fillcolor="#e0e9f4" strokecolor="#375c8a" strokeweight="1.5pt">
            <v:textbox inset="0,0,0,0">
              <w:txbxContent>
                <w:p w14:paraId="4E239C7E" w14:textId="77777777" w:rsidR="00451220" w:rsidRDefault="00000000">
                  <w:pPr>
                    <w:pStyle w:val="BodyTex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AC-001116</w:t>
                  </w:r>
                </w:p>
                <w:p w14:paraId="473774BA" w14:textId="77777777" w:rsidR="00451220" w:rsidRDefault="00000000">
                  <w:pPr>
                    <w:pStyle w:val="BodyTex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Description: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Template</w:t>
                  </w:r>
                </w:p>
                <w:p w14:paraId="3585CD13" w14:textId="77777777" w:rsidR="00451220" w:rsidRDefault="00451220"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 w14:paraId="69193302" w14:textId="77777777" w:rsidR="00451220" w:rsidRDefault="00000000">
                  <w:pPr>
                    <w:pStyle w:val="BodyText"/>
                    <w:ind w:left="1" w:right="254"/>
                  </w:pPr>
                  <w:r>
                    <w:t>Enterprise Workforce Solutions team will be reviewing SOX impacted ICDs starting in Q1 2024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partnership with our Workday AMS consulting team.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EWS will design and share an updated ICD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template format for Workday data integrations and validate the document design with EWS’s internal risk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partners.</w:t>
                  </w:r>
                </w:p>
                <w:p w14:paraId="06C6BD28" w14:textId="77777777" w:rsidR="00451220" w:rsidRDefault="00451220">
                  <w:pPr>
                    <w:pStyle w:val="BodyText"/>
                  </w:pPr>
                </w:p>
                <w:p w14:paraId="11534A73" w14:textId="77777777" w:rsidR="00451220" w:rsidRDefault="00000000">
                  <w:pPr>
                    <w:pStyle w:val="BodyText"/>
                    <w:ind w:left="1" w:right="242"/>
                  </w:pPr>
                  <w:r>
                    <w:t>Expected Evidence: Workday ICD standard template, consistent with NWoW ICD standards. Evidence of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communication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EWS’s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internal risk and control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partners.</w:t>
                  </w:r>
                </w:p>
              </w:txbxContent>
            </v:textbox>
            <w10:anchorlock/>
          </v:shape>
        </w:pict>
      </w:r>
    </w:p>
    <w:p w14:paraId="70B97680" w14:textId="77777777" w:rsidR="00451220" w:rsidRDefault="00451220">
      <w:pPr>
        <w:pStyle w:val="BodyText"/>
        <w:spacing w:after="1"/>
        <w:rPr>
          <w:sz w:val="21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144"/>
        <w:gridCol w:w="2505"/>
      </w:tblGrid>
      <w:tr w:rsidR="00451220" w14:paraId="37FA203E" w14:textId="77777777">
        <w:trPr>
          <w:trHeight w:val="248"/>
        </w:trPr>
        <w:tc>
          <w:tcPr>
            <w:tcW w:w="2252" w:type="dxa"/>
          </w:tcPr>
          <w:p w14:paraId="1603F58D" w14:textId="77777777" w:rsidR="0045122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44" w:type="dxa"/>
          </w:tcPr>
          <w:p w14:paraId="30EFEF2D" w14:textId="77777777" w:rsidR="00451220" w:rsidRDefault="00000000">
            <w:pPr>
              <w:pStyle w:val="TableParagraph"/>
              <w:ind w:left="444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05" w:type="dxa"/>
          </w:tcPr>
          <w:p w14:paraId="7FB759BA" w14:textId="77777777" w:rsidR="00451220" w:rsidRDefault="00000000">
            <w:pPr>
              <w:pStyle w:val="TableParagraph"/>
              <w:ind w:left="759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451220" w14:paraId="75BADB71" w14:textId="77777777">
        <w:trPr>
          <w:trHeight w:val="248"/>
        </w:trPr>
        <w:tc>
          <w:tcPr>
            <w:tcW w:w="2252" w:type="dxa"/>
          </w:tcPr>
          <w:p w14:paraId="11B3C51D" w14:textId="77777777" w:rsidR="00451220" w:rsidRDefault="00000000">
            <w:pPr>
              <w:pStyle w:val="TableParagraph"/>
            </w:pPr>
            <w:r>
              <w:t>Sathvik</w:t>
            </w:r>
            <w:r>
              <w:rPr>
                <w:spacing w:val="-2"/>
              </w:rPr>
              <w:t xml:space="preserve"> </w:t>
            </w:r>
            <w:r>
              <w:t>Kanam</w:t>
            </w:r>
          </w:p>
        </w:tc>
        <w:tc>
          <w:tcPr>
            <w:tcW w:w="4144" w:type="dxa"/>
          </w:tcPr>
          <w:p w14:paraId="389DB42A" w14:textId="77777777" w:rsidR="00451220" w:rsidRDefault="00000000">
            <w:pPr>
              <w:pStyle w:val="TableParagraph"/>
              <w:ind w:left="444"/>
            </w:pPr>
            <w:r>
              <w:t>02/29/2024</w:t>
            </w:r>
          </w:p>
        </w:tc>
        <w:tc>
          <w:tcPr>
            <w:tcW w:w="2505" w:type="dxa"/>
          </w:tcPr>
          <w:p w14:paraId="151585CE" w14:textId="77777777" w:rsidR="00451220" w:rsidRDefault="00000000">
            <w:pPr>
              <w:pStyle w:val="TableParagraph"/>
              <w:ind w:left="758"/>
            </w:pPr>
            <w:r>
              <w:t>Open</w:t>
            </w:r>
          </w:p>
        </w:tc>
      </w:tr>
    </w:tbl>
    <w:p w14:paraId="1C817351" w14:textId="77777777" w:rsidR="00451220" w:rsidRDefault="00000000">
      <w:pPr>
        <w:pStyle w:val="BodyText"/>
        <w:spacing w:before="7"/>
        <w:rPr>
          <w:sz w:val="18"/>
        </w:rPr>
      </w:pPr>
      <w:r>
        <w:pict w14:anchorId="779830A2">
          <v:shape id="_x0000_s2053" type="#_x0000_t202" style="position:absolute;margin-left:57.25pt;margin-top:13.45pt;width:481.4pt;height:90pt;z-index:-15725056;mso-wrap-distance-left:0;mso-wrap-distance-right:0;mso-position-horizontal-relative:page;mso-position-vertical-relative:text" fillcolor="#e0e9f4" strokecolor="#375c8a" strokeweight="1.5pt">
            <v:textbox inset="0,0,0,0">
              <w:txbxContent>
                <w:p w14:paraId="382C119C" w14:textId="77777777" w:rsidR="00451220" w:rsidRDefault="00000000">
                  <w:pPr>
                    <w:pStyle w:val="BodyText"/>
                    <w:spacing w:line="252" w:lineRule="exac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AC-001117</w:t>
                  </w:r>
                </w:p>
                <w:p w14:paraId="0DAC55D5" w14:textId="77777777" w:rsidR="00451220" w:rsidRDefault="00000000">
                  <w:pPr>
                    <w:pStyle w:val="BodyTex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Description: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Critical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Payroll-related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ICDs</w:t>
                  </w:r>
                </w:p>
                <w:p w14:paraId="27657CC9" w14:textId="77777777" w:rsidR="00451220" w:rsidRDefault="00451220">
                  <w:pPr>
                    <w:pStyle w:val="BodyText"/>
                  </w:pPr>
                </w:p>
                <w:p w14:paraId="7B70EB88" w14:textId="77777777" w:rsidR="00451220" w:rsidRDefault="00000000">
                  <w:pPr>
                    <w:pStyle w:val="BodyText"/>
                    <w:ind w:left="1" w:right="558"/>
                  </w:pPr>
                  <w:r>
                    <w:t>Once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Workday-specific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integration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ICD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designed,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Enterprise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Workforce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Solutions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team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 approve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ICDs 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38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critical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Payroll-related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Workday 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integrations.</w:t>
                  </w:r>
                </w:p>
                <w:p w14:paraId="3608A94F" w14:textId="77777777" w:rsidR="00451220" w:rsidRDefault="00451220">
                  <w:pPr>
                    <w:pStyle w:val="BodyText"/>
                  </w:pPr>
                </w:p>
                <w:p w14:paraId="0553FA91" w14:textId="77777777" w:rsidR="00451220" w:rsidRDefault="00000000">
                  <w:pPr>
                    <w:pStyle w:val="BodyText"/>
                    <w:ind w:left="1"/>
                  </w:pPr>
                  <w:r>
                    <w:t>Expected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Evidence: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Approved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ICDs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critical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Payroll-related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Workday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integrations.</w:t>
                  </w:r>
                </w:p>
              </w:txbxContent>
            </v:textbox>
            <w10:wrap type="topAndBottom" anchorx="page"/>
          </v:shape>
        </w:pict>
      </w:r>
    </w:p>
    <w:p w14:paraId="2D31A83E" w14:textId="77777777" w:rsidR="00451220" w:rsidRDefault="00451220">
      <w:pPr>
        <w:pStyle w:val="BodyText"/>
        <w:spacing w:before="3"/>
        <w:rPr>
          <w:sz w:val="20"/>
        </w:rPr>
      </w:pPr>
    </w:p>
    <w:tbl>
      <w:tblPr>
        <w:tblW w:w="0" w:type="auto"/>
        <w:tblInd w:w="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144"/>
        <w:gridCol w:w="2505"/>
      </w:tblGrid>
      <w:tr w:rsidR="00451220" w14:paraId="67724235" w14:textId="77777777">
        <w:trPr>
          <w:trHeight w:val="248"/>
        </w:trPr>
        <w:tc>
          <w:tcPr>
            <w:tcW w:w="2252" w:type="dxa"/>
          </w:tcPr>
          <w:p w14:paraId="651026BE" w14:textId="77777777" w:rsidR="00451220" w:rsidRDefault="00000000">
            <w:pPr>
              <w:pStyle w:val="TableParagraph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Owner:</w:t>
            </w:r>
          </w:p>
        </w:tc>
        <w:tc>
          <w:tcPr>
            <w:tcW w:w="4144" w:type="dxa"/>
          </w:tcPr>
          <w:p w14:paraId="37AB2728" w14:textId="77777777" w:rsidR="00451220" w:rsidRDefault="00000000">
            <w:pPr>
              <w:pStyle w:val="TableParagraph"/>
              <w:ind w:left="444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Closure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Target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Date:</w:t>
            </w:r>
          </w:p>
        </w:tc>
        <w:tc>
          <w:tcPr>
            <w:tcW w:w="2505" w:type="dxa"/>
          </w:tcPr>
          <w:p w14:paraId="3C0A0518" w14:textId="77777777" w:rsidR="00451220" w:rsidRDefault="00000000">
            <w:pPr>
              <w:pStyle w:val="TableParagraph"/>
              <w:ind w:left="759"/>
            </w:pPr>
            <w:r>
              <w:rPr>
                <w:color w:val="1E487C"/>
              </w:rPr>
              <w:t>Action</w:t>
            </w:r>
            <w:r>
              <w:rPr>
                <w:color w:val="1E487C"/>
                <w:spacing w:val="-2"/>
              </w:rPr>
              <w:t xml:space="preserve"> </w:t>
            </w:r>
            <w:r>
              <w:rPr>
                <w:color w:val="1E487C"/>
              </w:rPr>
              <w:t>Plan</w:t>
            </w:r>
            <w:r>
              <w:rPr>
                <w:color w:val="1E487C"/>
                <w:spacing w:val="-1"/>
              </w:rPr>
              <w:t xml:space="preserve"> </w:t>
            </w:r>
            <w:r>
              <w:rPr>
                <w:color w:val="1E487C"/>
              </w:rPr>
              <w:t>Status:</w:t>
            </w:r>
          </w:p>
        </w:tc>
      </w:tr>
      <w:tr w:rsidR="00451220" w14:paraId="37DCDACE" w14:textId="77777777">
        <w:trPr>
          <w:trHeight w:val="248"/>
        </w:trPr>
        <w:tc>
          <w:tcPr>
            <w:tcW w:w="2252" w:type="dxa"/>
          </w:tcPr>
          <w:p w14:paraId="2562D8F3" w14:textId="77777777" w:rsidR="00451220" w:rsidRDefault="00000000">
            <w:pPr>
              <w:pStyle w:val="TableParagraph"/>
            </w:pPr>
            <w:r>
              <w:t>Sathvik</w:t>
            </w:r>
            <w:r>
              <w:rPr>
                <w:spacing w:val="-2"/>
              </w:rPr>
              <w:t xml:space="preserve"> </w:t>
            </w:r>
            <w:r>
              <w:t>Kanam</w:t>
            </w:r>
          </w:p>
        </w:tc>
        <w:tc>
          <w:tcPr>
            <w:tcW w:w="4144" w:type="dxa"/>
          </w:tcPr>
          <w:p w14:paraId="5C29B91E" w14:textId="77777777" w:rsidR="00451220" w:rsidRDefault="00000000">
            <w:pPr>
              <w:pStyle w:val="TableParagraph"/>
              <w:ind w:left="444"/>
            </w:pPr>
            <w:r>
              <w:t>06/28/2024</w:t>
            </w:r>
          </w:p>
        </w:tc>
        <w:tc>
          <w:tcPr>
            <w:tcW w:w="2505" w:type="dxa"/>
          </w:tcPr>
          <w:p w14:paraId="47AFA1BE" w14:textId="77777777" w:rsidR="00451220" w:rsidRDefault="00000000">
            <w:pPr>
              <w:pStyle w:val="TableParagraph"/>
              <w:ind w:left="758"/>
            </w:pPr>
            <w:r>
              <w:t>Open</w:t>
            </w:r>
          </w:p>
        </w:tc>
      </w:tr>
    </w:tbl>
    <w:p w14:paraId="2EC2D014" w14:textId="77777777" w:rsidR="00451220" w:rsidRDefault="00451220">
      <w:pPr>
        <w:sectPr w:rsidR="00451220">
          <w:headerReference w:type="default" r:id="rId14"/>
          <w:footerReference w:type="default" r:id="rId15"/>
          <w:pgSz w:w="12240" w:h="15840"/>
          <w:pgMar w:top="2020" w:right="880" w:bottom="2100" w:left="740" w:header="984" w:footer="1908" w:gutter="0"/>
          <w:cols w:space="720"/>
        </w:sectPr>
      </w:pPr>
    </w:p>
    <w:p w14:paraId="02B54E6F" w14:textId="77777777" w:rsidR="00451220" w:rsidRDefault="00451220">
      <w:pPr>
        <w:pStyle w:val="BodyText"/>
        <w:rPr>
          <w:sz w:val="20"/>
        </w:rPr>
      </w:pPr>
    </w:p>
    <w:p w14:paraId="008EB086" w14:textId="77777777" w:rsidR="00451220" w:rsidRDefault="00451220">
      <w:pPr>
        <w:pStyle w:val="BodyText"/>
        <w:rPr>
          <w:sz w:val="21"/>
        </w:rPr>
      </w:pPr>
    </w:p>
    <w:p w14:paraId="7D16C0FF" w14:textId="77777777" w:rsidR="00451220" w:rsidRDefault="00000000">
      <w:pPr>
        <w:pStyle w:val="BodyText"/>
        <w:ind w:left="294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105999B3">
          <v:shape id="_x0000_s2052" type="#_x0000_t202" style="width:507.8pt;height:39.5pt;mso-left-percent:-10001;mso-top-percent:-10001;mso-position-horizontal:absolute;mso-position-horizontal-relative:char;mso-position-vertical:absolute;mso-position-vertical-relative:line;mso-left-percent:-10001;mso-top-percent:-10001" fillcolor="#95b3d7" strokecolor="#375c8a" strokeweight="1.5pt">
            <v:textbox inset="0,0,0,0">
              <w:txbxContent>
                <w:p w14:paraId="49B16F96" w14:textId="77777777" w:rsidR="00451220" w:rsidRDefault="00000000">
                  <w:pPr>
                    <w:pStyle w:val="BodyText"/>
                    <w:ind w:left="30"/>
                  </w:pPr>
                  <w:r>
                    <w:rPr>
                      <w:color w:val="1E487C"/>
                    </w:rPr>
                    <w:t>Issue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#: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IS-001237</w:t>
                  </w:r>
                </w:p>
                <w:p w14:paraId="3712AE4E" w14:textId="77777777" w:rsidR="00451220" w:rsidRDefault="00000000">
                  <w:pPr>
                    <w:pStyle w:val="BodyText"/>
                    <w:ind w:left="39" w:right="259" w:hanging="10"/>
                  </w:pPr>
                  <w:r>
                    <w:rPr>
                      <w:color w:val="1E487C"/>
                    </w:rPr>
                    <w:t xml:space="preserve">Issue Name: </w:t>
                  </w:r>
                  <w:r>
                    <w:t>Execution of review controls supporting certain payroll suspense accounts require improvement to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ensure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suspense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appropriately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identified,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aged,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remediated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 timely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accurate manner.</w:t>
                  </w:r>
                </w:p>
              </w:txbxContent>
            </v:textbox>
            <w10:anchorlock/>
          </v:shape>
        </w:pict>
      </w:r>
    </w:p>
    <w:p w14:paraId="6CF6EFF0" w14:textId="77777777" w:rsidR="00451220" w:rsidRDefault="00451220">
      <w:pPr>
        <w:pStyle w:val="BodyText"/>
        <w:spacing w:before="3"/>
        <w:rPr>
          <w:sz w:val="12"/>
        </w:rPr>
      </w:pPr>
    </w:p>
    <w:p w14:paraId="585FBA34" w14:textId="77777777" w:rsidR="00451220" w:rsidRDefault="00000000">
      <w:pPr>
        <w:pStyle w:val="BodyText"/>
        <w:spacing w:before="90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Description:</w:t>
      </w:r>
    </w:p>
    <w:p w14:paraId="6B774C02" w14:textId="77777777" w:rsidR="00451220" w:rsidRDefault="00000000">
      <w:pPr>
        <w:pStyle w:val="BodyText"/>
        <w:ind w:left="335" w:right="282" w:hanging="11"/>
      </w:pPr>
      <w:r>
        <w:t>On a monthly basis, Alight Accounting Operations reconciles Workday and Oracle payroll suspense accounts,</w:t>
      </w:r>
      <w:r>
        <w:rPr>
          <w:spacing w:val="1"/>
        </w:rPr>
        <w:t xml:space="preserve"> </w:t>
      </w:r>
      <w:r>
        <w:t>which are utilized to handle accounting activity associated with employee deductions, employee stock options,</w:t>
      </w:r>
      <w:r>
        <w:rPr>
          <w:spacing w:val="1"/>
        </w:rPr>
        <w:t xml:space="preserve"> </w:t>
      </w:r>
      <w:r>
        <w:t>employee wages and employee tax withholdings. Any open items that are not cleared from suspense immediately</w:t>
      </w:r>
      <w:r>
        <w:rPr>
          <w:spacing w:val="-53"/>
        </w:rPr>
        <w:t xml:space="preserve"> </w:t>
      </w:r>
      <w:r>
        <w:t>or within a short period of time should be aged appropriately with a target to clear items within 30 days.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suspense items remain in the accounts for longer than 30 days, HR Payroll Operations works with Alight (Third</w:t>
      </w:r>
      <w:r>
        <w:rPr>
          <w:spacing w:val="1"/>
        </w:rPr>
        <w:t xml:space="preserve"> </w:t>
      </w:r>
      <w:r>
        <w:t>Party Payroll Vendor) and other internal stakeholders to determine the cause and then are expected to track the</w:t>
      </w:r>
      <w:r>
        <w:rPr>
          <w:spacing w:val="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of remaining items, document rationale</w:t>
      </w:r>
      <w:r>
        <w:rPr>
          <w:spacing w:val="-1"/>
        </w:rPr>
        <w:t xml:space="preserve"> </w:t>
      </w:r>
      <w:r>
        <w:t>and track them to resolution.</w:t>
      </w:r>
    </w:p>
    <w:p w14:paraId="5AABD0E0" w14:textId="77777777" w:rsidR="00451220" w:rsidRDefault="00451220">
      <w:pPr>
        <w:pStyle w:val="BodyText"/>
        <w:spacing w:before="1"/>
      </w:pPr>
    </w:p>
    <w:p w14:paraId="0C790DCD" w14:textId="77777777" w:rsidR="00451220" w:rsidRDefault="00000000">
      <w:pPr>
        <w:pStyle w:val="BodyText"/>
        <w:ind w:left="335" w:right="477" w:hanging="11"/>
      </w:pPr>
      <w:r>
        <w:t>Internal Audit noted that certain suspense items are not being appropriately documented, tracked and cleared in</w:t>
      </w:r>
      <w:r>
        <w:rPr>
          <w:spacing w:val="-52"/>
        </w:rPr>
        <w:t xml:space="preserve"> </w:t>
      </w:r>
      <w:r>
        <w:t xml:space="preserve">accordance with the process described above for 1 of the </w:t>
      </w:r>
      <w:proofErr w:type="gramStart"/>
      <w:r>
        <w:t>20 payroll</w:t>
      </w:r>
      <w:proofErr w:type="gramEnd"/>
      <w:r>
        <w:t xml:space="preserve"> suspense sub-accounts. Internal Audit’s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Suspense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regard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sub-account:</w:t>
      </w:r>
    </w:p>
    <w:p w14:paraId="1B131E95" w14:textId="77777777" w:rsidR="00451220" w:rsidRDefault="00451220">
      <w:pPr>
        <w:pStyle w:val="BodyText"/>
        <w:spacing w:before="11"/>
        <w:rPr>
          <w:sz w:val="21"/>
        </w:rPr>
      </w:pPr>
    </w:p>
    <w:p w14:paraId="4788FAF1" w14:textId="77777777" w:rsidR="00451220" w:rsidRDefault="00000000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line="240" w:lineRule="auto"/>
        <w:ind w:right="274"/>
      </w:pPr>
      <w:r>
        <w:t>Suspense item balances are netted, and some items are not aged accurately. Certain suspense items</w:t>
      </w:r>
      <w:r>
        <w:rPr>
          <w:spacing w:val="1"/>
        </w:rPr>
        <w:t xml:space="preserve"> </w:t>
      </w:r>
      <w:r>
        <w:t>associated with employee tax withholdings for Restricted Stock Unit (RSU) compensation for 47</w:t>
      </w:r>
      <w:r>
        <w:rPr>
          <w:spacing w:val="1"/>
        </w:rPr>
        <w:t xml:space="preserve"> </w:t>
      </w:r>
      <w:r>
        <w:t>employees were changed by adding them to different suspense reconciling items prior to final resolution.</w:t>
      </w:r>
      <w:r>
        <w:rPr>
          <w:spacing w:val="-53"/>
        </w:rPr>
        <w:t xml:space="preserve"> </w:t>
      </w:r>
      <w:r>
        <w:t>These suspense items were then included as a new item with a new date during the creation of the June</w:t>
      </w:r>
      <w:r>
        <w:rPr>
          <w:spacing w:val="1"/>
        </w:rPr>
        <w:t xml:space="preserve"> </w:t>
      </w:r>
      <w:r>
        <w:t>2023 monthly package. This caused the item’s aging to incorrectly start in June 2023 rather than the</w:t>
      </w:r>
      <w:r>
        <w:rPr>
          <w:spacing w:val="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dates identified in February 2023.</w:t>
      </w:r>
    </w:p>
    <w:p w14:paraId="6D0FCDF5" w14:textId="77777777" w:rsidR="00451220" w:rsidRDefault="00451220">
      <w:pPr>
        <w:pStyle w:val="BodyText"/>
        <w:spacing w:before="9"/>
      </w:pPr>
    </w:p>
    <w:p w14:paraId="125D2B1D" w14:textId="77777777" w:rsidR="00451220" w:rsidRDefault="00000000">
      <w:pPr>
        <w:pStyle w:val="BodyText"/>
        <w:spacing w:line="242" w:lineRule="auto"/>
        <w:ind w:left="1080" w:right="250"/>
      </w:pPr>
      <w:r>
        <w:t>Upon inquiry by Internal Audit, management researched these items and identified that 28 of the 47</w:t>
      </w:r>
      <w:r>
        <w:rPr>
          <w:spacing w:val="1"/>
        </w:rPr>
        <w:t xml:space="preserve"> </w:t>
      </w:r>
      <w:r>
        <w:t>employees had more shares than necessary withheld due to an incorrect payroll withholding calculation</w:t>
      </w:r>
      <w:r>
        <w:rPr>
          <w:spacing w:val="1"/>
        </w:rPr>
        <w:t xml:space="preserve"> </w:t>
      </w:r>
      <w:r>
        <w:t>by E*TRADE. While the payroll records and tax withholdings were correct in Workday, the E*TRADE</w:t>
      </w:r>
      <w:r>
        <w:rPr>
          <w:spacing w:val="-52"/>
        </w:rPr>
        <w:t xml:space="preserve"> </w:t>
      </w:r>
      <w:r>
        <w:t>accounts for those 28 employees showed less shares in their accounts and the impact to ABC Company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Treasury</w:t>
      </w:r>
      <w:r>
        <w:rPr>
          <w:spacing w:val="-3"/>
        </w:rPr>
        <w:t xml:space="preserve"> </w:t>
      </w:r>
      <w:r>
        <w:t>Stock.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reconciling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proofErr w:type="spellStart"/>
      <w:r>
        <w:t>em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ployees</w:t>
      </w:r>
      <w:proofErr w:type="spellEnd"/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credit balance</w:t>
      </w:r>
      <w:r>
        <w:rPr>
          <w:spacing w:val="-1"/>
        </w:rPr>
        <w:t xml:space="preserve"> </w:t>
      </w:r>
      <w:r>
        <w:t>of ~$100,000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original suspense</w:t>
      </w:r>
      <w:r>
        <w:rPr>
          <w:spacing w:val="-2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of $40M.</w:t>
      </w:r>
    </w:p>
    <w:p w14:paraId="1B4BBBCC" w14:textId="77777777" w:rsidR="00451220" w:rsidRDefault="00451220">
      <w:pPr>
        <w:pStyle w:val="BodyText"/>
        <w:spacing w:before="10"/>
        <w:rPr>
          <w:sz w:val="19"/>
        </w:rPr>
      </w:pPr>
    </w:p>
    <w:p w14:paraId="437046CB" w14:textId="77777777" w:rsidR="00451220" w:rsidRDefault="00000000">
      <w:pPr>
        <w:pStyle w:val="ListParagraph"/>
        <w:numPr>
          <w:ilvl w:val="1"/>
          <w:numId w:val="2"/>
        </w:numPr>
        <w:tabs>
          <w:tab w:val="left" w:pos="1100"/>
          <w:tab w:val="left" w:pos="1101"/>
        </w:tabs>
        <w:spacing w:line="240" w:lineRule="auto"/>
        <w:ind w:right="269"/>
      </w:pPr>
      <w:r>
        <w:t>Suspense items are aged longer than 30 days without adequate documentation of the rationale and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place.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3Q23,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suspense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employee tax withholdings for RSUs from prior to 2023 (5 from 2022 and 1 from 2020). As the Service</w:t>
      </w:r>
      <w:r>
        <w:rPr>
          <w:spacing w:val="1"/>
        </w:rPr>
        <w:t xml:space="preserve"> </w:t>
      </w:r>
      <w:r>
        <w:t>Delivery Manager at ABC Company had not yet been able to resolve, Internal Audit requested further</w:t>
      </w:r>
      <w:r>
        <w:rPr>
          <w:spacing w:val="1"/>
        </w:rPr>
        <w:t xml:space="preserve"> </w:t>
      </w:r>
      <w:r>
        <w:t>information and management researched these items and were able to determine that 4 of the 6 were di</w:t>
      </w:r>
      <w:r>
        <w:rPr>
          <w:spacing w:val="1"/>
        </w:rPr>
        <w:t xml:space="preserve"> </w:t>
      </w:r>
      <w:r>
        <w:t>minimis adjustments. It was identified that 2 items were related to RSUs for 10 employees with the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totaling $70,000.</w:t>
      </w:r>
    </w:p>
    <w:p w14:paraId="4558B0BD" w14:textId="77777777" w:rsidR="00451220" w:rsidRDefault="00451220">
      <w:pPr>
        <w:pStyle w:val="BodyText"/>
        <w:spacing w:before="10"/>
        <w:rPr>
          <w:sz w:val="21"/>
        </w:rPr>
      </w:pPr>
    </w:p>
    <w:p w14:paraId="76811813" w14:textId="77777777" w:rsidR="00451220" w:rsidRDefault="00000000">
      <w:pPr>
        <w:pStyle w:val="BodyText"/>
        <w:ind w:left="335" w:right="494" w:hanging="11"/>
      </w:pPr>
      <w:r>
        <w:rPr>
          <w:color w:val="1E487C"/>
        </w:rPr>
        <w:t xml:space="preserve">Root Cause Explanation: </w:t>
      </w:r>
      <w:r>
        <w:t>The root cause is due to the manual process associated with aging suspense items and</w:t>
      </w:r>
      <w:r>
        <w:rPr>
          <w:spacing w:val="-52"/>
        </w:rPr>
        <w:t xml:space="preserve"> </w:t>
      </w:r>
      <w:r>
        <w:t xml:space="preserve">resource turnover within the function which resulted in failure to obtain the necessary details for each item </w:t>
      </w:r>
      <w:proofErr w:type="gramStart"/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adequately understand them</w:t>
      </w:r>
      <w:r>
        <w:rPr>
          <w:spacing w:val="-1"/>
        </w:rPr>
        <w:t xml:space="preserve"> </w:t>
      </w:r>
      <w:r>
        <w:t>and track them</w:t>
      </w:r>
      <w:r>
        <w:rPr>
          <w:spacing w:val="-1"/>
        </w:rPr>
        <w:t xml:space="preserve"> </w:t>
      </w:r>
      <w:r>
        <w:t>to resolution.</w:t>
      </w:r>
    </w:p>
    <w:p w14:paraId="518593CD" w14:textId="77777777" w:rsidR="00451220" w:rsidRDefault="00451220">
      <w:pPr>
        <w:sectPr w:rsidR="00451220">
          <w:pgSz w:w="12240" w:h="15840"/>
          <w:pgMar w:top="2020" w:right="880" w:bottom="2100" w:left="740" w:header="984" w:footer="1908" w:gutter="0"/>
          <w:cols w:space="720"/>
        </w:sectPr>
      </w:pPr>
    </w:p>
    <w:p w14:paraId="0C8405E7" w14:textId="77777777" w:rsidR="00451220" w:rsidRDefault="00451220">
      <w:pPr>
        <w:pStyle w:val="BodyText"/>
        <w:rPr>
          <w:sz w:val="20"/>
        </w:rPr>
      </w:pPr>
    </w:p>
    <w:p w14:paraId="3FE32E02" w14:textId="77777777" w:rsidR="00451220" w:rsidRDefault="00451220">
      <w:pPr>
        <w:pStyle w:val="BodyText"/>
        <w:spacing w:before="11"/>
        <w:rPr>
          <w:sz w:val="20"/>
        </w:rPr>
      </w:pPr>
    </w:p>
    <w:p w14:paraId="0968DA52" w14:textId="77777777" w:rsidR="00451220" w:rsidRDefault="00000000">
      <w:pPr>
        <w:pStyle w:val="BodyText"/>
        <w:ind w:left="324"/>
      </w:pPr>
      <w:r>
        <w:rPr>
          <w:color w:val="1E487C"/>
        </w:rPr>
        <w:t>Rating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Rationale:</w:t>
      </w:r>
    </w:p>
    <w:p w14:paraId="168C3C3B" w14:textId="77777777" w:rsidR="00451220" w:rsidRDefault="00000000">
      <w:pPr>
        <w:pStyle w:val="BodyText"/>
        <w:ind w:left="335" w:right="301" w:hanging="11"/>
      </w:pPr>
      <w:r>
        <w:t xml:space="preserve">Failure to fully execute reconciliation controls may result in balances not being adequately monitored, </w:t>
      </w:r>
      <w:proofErr w:type="gramStart"/>
      <w:r>
        <w:t>researched</w:t>
      </w:r>
      <w:proofErr w:type="gramEnd"/>
      <w:r>
        <w:rPr>
          <w:spacing w:val="-52"/>
        </w:rPr>
        <w:t xml:space="preserve"> </w:t>
      </w:r>
      <w:r>
        <w:t>and cleared. As a result, downstream impacts related to employee compensation, tax withholding and tax</w:t>
      </w:r>
      <w:r>
        <w:rPr>
          <w:spacing w:val="1"/>
        </w:rPr>
        <w:t xml:space="preserve"> </w:t>
      </w:r>
      <w:r>
        <w:t>reporting may not be detected.</w:t>
      </w:r>
      <w:r>
        <w:rPr>
          <w:spacing w:val="1"/>
        </w:rPr>
        <w:t xml:space="preserve"> </w:t>
      </w:r>
      <w:r>
        <w:t>The likelihood of this error occurring is medium given the number of employees</w:t>
      </w:r>
      <w:r>
        <w:rPr>
          <w:spacing w:val="1"/>
        </w:rPr>
        <w:t xml:space="preserve"> </w:t>
      </w:r>
      <w:r>
        <w:t>at ABC Company that receive RSUs and the large number of shares that vest during compensation season.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significance is considered low due to the limited impact to the operational process of maintaining suspense items</w:t>
      </w:r>
      <w:r>
        <w:rPr>
          <w:spacing w:val="-52"/>
        </w:rPr>
        <w:t xml:space="preserve"> </w:t>
      </w:r>
      <w:r>
        <w:t>since these exceptions were identified for 1 of the 20 sub-accounts. The reconciling items overall were low in</w:t>
      </w:r>
      <w:r>
        <w:rPr>
          <w:spacing w:val="1"/>
        </w:rPr>
        <w:t xml:space="preserve"> </w:t>
      </w:r>
      <w:r>
        <w:t>volume, low in amount and typically cleared within 30-60 days.</w:t>
      </w:r>
      <w:r>
        <w:rPr>
          <w:spacing w:val="1"/>
        </w:rPr>
        <w:t xml:space="preserve"> </w:t>
      </w:r>
      <w:r>
        <w:t>In addition, the reconciling items and potential</w:t>
      </w:r>
      <w:r>
        <w:rPr>
          <w:spacing w:val="1"/>
        </w:rPr>
        <w:t xml:space="preserve"> </w:t>
      </w:r>
      <w:r>
        <w:t xml:space="preserve">risk for them to grow significantly were immaterial </w:t>
      </w:r>
      <w:proofErr w:type="gramStart"/>
      <w:r>
        <w:t>in regard to</w:t>
      </w:r>
      <w:proofErr w:type="gramEnd"/>
      <w:r>
        <w:t xml:space="preserve"> financial loss, regulatory and financial reporting</w:t>
      </w:r>
      <w:r>
        <w:rPr>
          <w:spacing w:val="1"/>
        </w:rPr>
        <w:t xml:space="preserve"> </w:t>
      </w:r>
      <w:r>
        <w:t>risks.</w:t>
      </w:r>
      <w:r>
        <w:rPr>
          <w:spacing w:val="-1"/>
        </w:rPr>
        <w:t xml:space="preserve"> </w:t>
      </w:r>
      <w:r>
        <w:t>As such, this issue is rated a low.</w:t>
      </w:r>
    </w:p>
    <w:p w14:paraId="1CEF5F01" w14:textId="77777777" w:rsidR="00451220" w:rsidRDefault="00451220">
      <w:pPr>
        <w:pStyle w:val="BodyText"/>
      </w:pPr>
    </w:p>
    <w:p w14:paraId="261C6C5A" w14:textId="77777777" w:rsidR="00451220" w:rsidRDefault="00000000">
      <w:pPr>
        <w:pStyle w:val="BodyText"/>
        <w:ind w:left="324"/>
      </w:pPr>
      <w:r>
        <w:rPr>
          <w:color w:val="1E487C"/>
        </w:rPr>
        <w:t>Audit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Risk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Taxonomy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Level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1:</w:t>
      </w:r>
      <w:r>
        <w:rPr>
          <w:color w:val="1E487C"/>
          <w:spacing w:val="-1"/>
        </w:rPr>
        <w:t xml:space="preserve"> </w:t>
      </w:r>
      <w:r>
        <w:t>12.</w:t>
      </w:r>
      <w:r>
        <w:rPr>
          <w:spacing w:val="-2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Trading</w:t>
      </w:r>
    </w:p>
    <w:p w14:paraId="2B757B02" w14:textId="77777777" w:rsidR="00451220" w:rsidRDefault="00451220">
      <w:pPr>
        <w:pStyle w:val="BodyText"/>
      </w:pPr>
    </w:p>
    <w:p w14:paraId="54FCCC0C" w14:textId="77777777" w:rsidR="00451220" w:rsidRDefault="00000000">
      <w:pPr>
        <w:pStyle w:val="BodyText"/>
        <w:tabs>
          <w:tab w:val="left" w:pos="5694"/>
        </w:tabs>
        <w:spacing w:before="1"/>
        <w:ind w:left="324"/>
      </w:pPr>
      <w:r>
        <w:rPr>
          <w:color w:val="1E487C"/>
        </w:rPr>
        <w:t>Issue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Rating:</w:t>
      </w:r>
      <w:r>
        <w:rPr>
          <w:color w:val="1E487C"/>
          <w:spacing w:val="-1"/>
        </w:rPr>
        <w:t xml:space="preserve"> </w:t>
      </w:r>
      <w:r>
        <w:t>Low</w:t>
      </w:r>
      <w:r>
        <w:tab/>
      </w:r>
      <w:r>
        <w:rPr>
          <w:color w:val="1E487C"/>
        </w:rPr>
        <w:t>Repeat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Issue:</w:t>
      </w:r>
      <w:r>
        <w:rPr>
          <w:color w:val="1E487C"/>
          <w:spacing w:val="-1"/>
        </w:rPr>
        <w:t xml:space="preserve"> </w:t>
      </w:r>
      <w:r>
        <w:t>No</w:t>
      </w:r>
    </w:p>
    <w:p w14:paraId="012CDDC7" w14:textId="77777777" w:rsidR="00451220" w:rsidRDefault="00000000">
      <w:pPr>
        <w:pStyle w:val="BodyText"/>
        <w:tabs>
          <w:tab w:val="left" w:pos="3384"/>
        </w:tabs>
        <w:spacing w:before="52" w:line="506" w:lineRule="exact"/>
        <w:ind w:left="324" w:right="4562"/>
      </w:pPr>
      <w:r>
        <w:rPr>
          <w:color w:val="1E487C"/>
        </w:rPr>
        <w:t>Status:</w:t>
      </w:r>
      <w:r>
        <w:rPr>
          <w:color w:val="1E487C"/>
          <w:spacing w:val="-1"/>
        </w:rPr>
        <w:t xml:space="preserve"> </w:t>
      </w:r>
      <w:r>
        <w:t>Open</w:t>
      </w:r>
      <w:r>
        <w:tab/>
      </w:r>
      <w:r>
        <w:rPr>
          <w:color w:val="1E487C"/>
        </w:rPr>
        <w:t xml:space="preserve">Issue Target Date: </w:t>
      </w:r>
      <w:r>
        <w:t>05/31/2024</w:t>
      </w:r>
      <w:r>
        <w:rPr>
          <w:spacing w:val="-52"/>
        </w:rPr>
        <w:t xml:space="preserve"> </w:t>
      </w:r>
      <w:r>
        <w:rPr>
          <w:color w:val="1E487C"/>
        </w:rPr>
        <w:t>Operating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Division:</w:t>
      </w:r>
      <w:r>
        <w:rPr>
          <w:color w:val="1E487C"/>
          <w:spacing w:val="1"/>
        </w:rPr>
        <w:t xml:space="preserve"> </w:t>
      </w:r>
      <w:r>
        <w:t>HR-Operations</w:t>
      </w:r>
    </w:p>
    <w:p w14:paraId="3144C09C" w14:textId="77777777" w:rsidR="00451220" w:rsidRDefault="00000000">
      <w:pPr>
        <w:pStyle w:val="BodyText"/>
        <w:spacing w:line="200" w:lineRule="exact"/>
        <w:ind w:left="324"/>
      </w:pPr>
      <w:r>
        <w:rPr>
          <w:color w:val="1E487C"/>
        </w:rPr>
        <w:t>Business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Group:</w:t>
      </w:r>
      <w:r>
        <w:rPr>
          <w:color w:val="1E487C"/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Resources</w:t>
      </w:r>
    </w:p>
    <w:p w14:paraId="359DE5AF" w14:textId="77777777" w:rsidR="00451220" w:rsidRDefault="00000000">
      <w:pPr>
        <w:pStyle w:val="BodyText"/>
        <w:spacing w:before="1"/>
        <w:ind w:left="324"/>
      </w:pPr>
      <w:r>
        <w:rPr>
          <w:color w:val="1E487C"/>
        </w:rPr>
        <w:t>Reportable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 xml:space="preserve">Segment: </w:t>
      </w:r>
      <w:r>
        <w:t>Corporate</w:t>
      </w:r>
      <w:r>
        <w:rPr>
          <w:spacing w:val="-2"/>
        </w:rPr>
        <w:t xml:space="preserve"> </w:t>
      </w:r>
      <w:r>
        <w:t>Groups</w:t>
      </w:r>
    </w:p>
    <w:p w14:paraId="058134B8" w14:textId="77777777" w:rsidR="00451220" w:rsidRDefault="00000000">
      <w:pPr>
        <w:pStyle w:val="BodyText"/>
        <w:spacing w:before="6"/>
        <w:rPr>
          <w:sz w:val="18"/>
        </w:rPr>
      </w:pPr>
      <w:r>
        <w:pict w14:anchorId="586A1356">
          <v:shape id="_x0000_s2051" type="#_x0000_t202" style="position:absolute;margin-left:57.25pt;margin-top:13.35pt;width:481.4pt;height:128.05pt;z-index:-15724032;mso-wrap-distance-left:0;mso-wrap-distance-right:0;mso-position-horizontal-relative:page" fillcolor="#e0e9f4" strokecolor="#375c8a" strokeweight="1.5pt">
            <v:textbox inset="0,0,0,0">
              <w:txbxContent>
                <w:p w14:paraId="6D759FBD" w14:textId="77777777" w:rsidR="00451220" w:rsidRDefault="00000000">
                  <w:pPr>
                    <w:pStyle w:val="BodyTex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ID: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t>AC-001170</w:t>
                  </w:r>
                </w:p>
                <w:p w14:paraId="547E078D" w14:textId="77777777" w:rsidR="00451220" w:rsidRDefault="00000000">
                  <w:pPr>
                    <w:pStyle w:val="BodyText"/>
                    <w:ind w:left="1"/>
                  </w:pPr>
                  <w:r>
                    <w:rPr>
                      <w:color w:val="1E487C"/>
                    </w:rPr>
                    <w:t>Action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rPr>
                      <w:color w:val="1E487C"/>
                    </w:rPr>
                    <w:t>Plan</w:t>
                  </w:r>
                  <w:r>
                    <w:rPr>
                      <w:color w:val="1E487C"/>
                      <w:spacing w:val="-1"/>
                    </w:rPr>
                    <w:t xml:space="preserve"> </w:t>
                  </w:r>
                  <w:r>
                    <w:rPr>
                      <w:color w:val="1E487C"/>
                    </w:rPr>
                    <w:t>Description:</w:t>
                  </w:r>
                  <w:r>
                    <w:rPr>
                      <w:color w:val="1E487C"/>
                      <w:spacing w:val="-2"/>
                    </w:rPr>
                    <w:t xml:space="preserve"> </w:t>
                  </w:r>
                  <w:r>
                    <w:t>Payroll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Suspense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Action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Plan</w:t>
                  </w:r>
                </w:p>
                <w:p w14:paraId="01F489AA" w14:textId="77777777" w:rsidR="00451220" w:rsidRDefault="00451220">
                  <w:pPr>
                    <w:pStyle w:val="BodyText"/>
                  </w:pPr>
                </w:p>
                <w:p w14:paraId="1D51DF47" w14:textId="77777777" w:rsidR="0045122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69"/>
                    </w:tabs>
                    <w:ind w:left="41" w:right="221" w:firstLine="0"/>
                  </w:pPr>
                  <w:r>
                    <w:t>Alight,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oversight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Company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Delivery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Manager,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reconcile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conjunc-</w:t>
                  </w:r>
                  <w:r>
                    <w:rPr>
                      <w:spacing w:val="-52"/>
                    </w:rPr>
                    <w:t xml:space="preserve"> </w:t>
                  </w:r>
                  <w:proofErr w:type="gramStart"/>
                  <w:r>
                    <w:t>tion</w:t>
                  </w:r>
                  <w:proofErr w:type="gramEnd"/>
                </w:p>
                <w:p w14:paraId="68EF7A30" w14:textId="77777777" w:rsidR="00451220" w:rsidRDefault="00000000">
                  <w:pPr>
                    <w:pStyle w:val="BodyText"/>
                    <w:spacing w:before="4"/>
                    <w:ind w:left="401" w:right="971"/>
                  </w:pPr>
                  <w:r>
                    <w:t>with other stakeholders in HR who then ensure employee compensation and RSU balances at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E*TRADE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accurate,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corrective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taken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communicated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"/>
                    </w:rPr>
                    <w:t xml:space="preserve"> </w:t>
                  </w:r>
                  <w:proofErr w:type="gramStart"/>
                  <w:r>
                    <w:t>impacted</w:t>
                  </w:r>
                  <w:proofErr w:type="gramEnd"/>
                </w:p>
                <w:p w14:paraId="462F7AA6" w14:textId="77777777" w:rsidR="00451220" w:rsidRDefault="00451220"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 w14:paraId="26810BC5" w14:textId="77777777" w:rsidR="00451220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222"/>
                    </w:tabs>
                    <w:spacing w:before="1"/>
                    <w:ind w:left="1" w:right="637" w:firstLine="0"/>
                  </w:pPr>
                  <w:r>
                    <w:t>Alight Accounting Operations will improve the tracking of suspense items to ensure items are aged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appropriately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monthly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report shared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Company Service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Delivery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Manager.</w:t>
                  </w:r>
                </w:p>
              </w:txbxContent>
            </v:textbox>
            <w10:wrap type="topAndBottom" anchorx="page"/>
          </v:shape>
        </w:pict>
      </w:r>
    </w:p>
    <w:p w14:paraId="48D0333C" w14:textId="77777777" w:rsidR="00451220" w:rsidRDefault="00000000">
      <w:pPr>
        <w:pStyle w:val="BodyText"/>
        <w:tabs>
          <w:tab w:val="left" w:pos="3020"/>
          <w:tab w:val="left" w:pos="7477"/>
        </w:tabs>
        <w:spacing w:line="223" w:lineRule="exact"/>
        <w:ind w:left="372"/>
      </w:pPr>
      <w:r>
        <w:rPr>
          <w:color w:val="1E487C"/>
        </w:rPr>
        <w:t>Action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Plan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Owner:</w:t>
      </w:r>
      <w:r>
        <w:rPr>
          <w:color w:val="1E487C"/>
        </w:rPr>
        <w:tab/>
        <w:t>Action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Plan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Closure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Target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Date:</w:t>
      </w:r>
      <w:r>
        <w:rPr>
          <w:color w:val="1E487C"/>
        </w:rPr>
        <w:tab/>
        <w:t>Action</w:t>
      </w:r>
      <w:r>
        <w:rPr>
          <w:color w:val="1E487C"/>
          <w:spacing w:val="-1"/>
        </w:rPr>
        <w:t xml:space="preserve"> </w:t>
      </w:r>
      <w:r>
        <w:rPr>
          <w:color w:val="1E487C"/>
        </w:rPr>
        <w:t>Plan</w:t>
      </w:r>
      <w:r>
        <w:rPr>
          <w:color w:val="1E487C"/>
          <w:spacing w:val="-2"/>
        </w:rPr>
        <w:t xml:space="preserve"> </w:t>
      </w:r>
      <w:r>
        <w:rPr>
          <w:color w:val="1E487C"/>
        </w:rPr>
        <w:t>Status:</w:t>
      </w:r>
    </w:p>
    <w:p w14:paraId="764A6E11" w14:textId="77777777" w:rsidR="00451220" w:rsidRDefault="00000000">
      <w:pPr>
        <w:pStyle w:val="BodyText"/>
        <w:tabs>
          <w:tab w:val="left" w:pos="3021"/>
          <w:tab w:val="left" w:pos="7477"/>
        </w:tabs>
        <w:spacing w:before="85"/>
        <w:ind w:left="372"/>
      </w:pPr>
      <w:r>
        <w:pict w14:anchorId="7874A3A1">
          <v:shape id="_x0000_s2050" type="#_x0000_t202" style="position:absolute;left:0;text-align:left;margin-left:78.1pt;margin-top:-51.45pt;width:49.75pt;height:12.2pt;z-index:-15933952;mso-position-horizontal-relative:page" filled="f" stroked="f">
            <v:textbox inset="0,0,0,0">
              <w:txbxContent>
                <w:p w14:paraId="78595578" w14:textId="77777777" w:rsidR="00451220" w:rsidRDefault="00000000">
                  <w:pPr>
                    <w:pStyle w:val="BodyText"/>
                    <w:spacing w:line="243" w:lineRule="exact"/>
                  </w:pPr>
                  <w:r>
                    <w:rPr>
                      <w:w w:val="95"/>
                    </w:rPr>
                    <w:t>employees.</w:t>
                  </w:r>
                </w:p>
              </w:txbxContent>
            </v:textbox>
            <w10:wrap anchorx="page"/>
          </v:shape>
        </w:pict>
      </w:r>
      <w:r>
        <w:t>Hallie</w:t>
      </w:r>
      <w:r>
        <w:rPr>
          <w:spacing w:val="-1"/>
        </w:rPr>
        <w:t xml:space="preserve"> </w:t>
      </w:r>
      <w:r>
        <w:t>Donovan</w:t>
      </w:r>
      <w:r>
        <w:tab/>
        <w:t>04/30/2024</w:t>
      </w:r>
      <w:r>
        <w:tab/>
        <w:t>Open</w:t>
      </w:r>
    </w:p>
    <w:sectPr w:rsidR="00451220">
      <w:pgSz w:w="12240" w:h="15840"/>
      <w:pgMar w:top="2020" w:right="880" w:bottom="2100" w:left="740" w:header="984" w:footer="1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A7B35" w14:textId="77777777" w:rsidR="00CF4DA8" w:rsidRDefault="00CF4DA8">
      <w:r>
        <w:separator/>
      </w:r>
    </w:p>
  </w:endnote>
  <w:endnote w:type="continuationSeparator" w:id="0">
    <w:p w14:paraId="338EA47C" w14:textId="77777777" w:rsidR="00CF4DA8" w:rsidRDefault="00CF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9406A" w14:textId="77777777" w:rsidR="00451220" w:rsidRDefault="00000000">
    <w:pPr>
      <w:pStyle w:val="BodyText"/>
      <w:spacing w:line="14" w:lineRule="auto"/>
      <w:rPr>
        <w:sz w:val="20"/>
      </w:rPr>
    </w:pPr>
    <w:r>
      <w:pict w14:anchorId="63DD30E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1.4pt;margin-top:709.8pt;width:507.75pt;height:46.5pt;z-index:-15938048;mso-position-horizontal-relative:page;mso-position-vertical-relative:page" filled="f" stroked="f">
          <v:textbox inset="0,0,0,0">
            <w:txbxContent>
              <w:p w14:paraId="03E8F09A" w14:textId="77777777" w:rsidR="00451220" w:rsidRDefault="00000000">
                <w:pPr>
                  <w:spacing w:before="12" w:line="266" w:lineRule="auto"/>
                  <w:ind w:left="19" w:right="78"/>
                  <w:jc w:val="center"/>
                  <w:rPr>
                    <w:sz w:val="18"/>
                  </w:rPr>
                </w:pPr>
                <w:r>
                  <w:rPr>
                    <w:color w:val="1E487C"/>
                    <w:sz w:val="18"/>
                  </w:rPr>
                  <w:t>This report is confidential and not to be distributed to anyone beyond the individuals indicated. Should copies of this report be requested by</w:t>
                </w:r>
                <w:r>
                  <w:rPr>
                    <w:color w:val="1E487C"/>
                    <w:spacing w:val="-4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any employee of ABC Company or subsidiaries, the request should be referred to the Internal Audit Department. All requests by external</w:t>
                </w:r>
                <w:r>
                  <w:rPr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parties,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either individual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or regulatory entity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 referred to the Law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</w:p>
              <w:p w14:paraId="1A62F0FB" w14:textId="77777777" w:rsidR="00451220" w:rsidRDefault="00000000">
                <w:pPr>
                  <w:spacing w:before="1"/>
                  <w:ind w:left="130" w:right="78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24CD7" w14:textId="77777777" w:rsidR="00451220" w:rsidRDefault="00000000">
    <w:pPr>
      <w:pStyle w:val="BodyText"/>
      <w:spacing w:line="14" w:lineRule="auto"/>
      <w:rPr>
        <w:sz w:val="20"/>
      </w:rPr>
    </w:pPr>
    <w:r>
      <w:pict w14:anchorId="100450F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.3pt;margin-top:685.6pt;width:485.15pt;height:47pt;z-index:-15936512;mso-position-horizontal-relative:page;mso-position-vertical-relative:page" filled="f" stroked="f">
          <v:textbox inset="0,0,0,0">
            <w:txbxContent>
              <w:p w14:paraId="06246824" w14:textId="77777777" w:rsidR="00451220" w:rsidRDefault="00000000">
                <w:pPr>
                  <w:spacing w:before="12" w:line="266" w:lineRule="auto"/>
                  <w:ind w:left="20"/>
                  <w:rPr>
                    <w:sz w:val="18"/>
                  </w:rPr>
                </w:pPr>
                <w:r>
                  <w:rPr>
                    <w:color w:val="1E487C"/>
                    <w:sz w:val="18"/>
                  </w:rPr>
                  <w:t>This report is confidential and not to be distributed to anyone beyond the individuals indicated. Should copies of this report be</w:t>
                </w:r>
                <w:r>
                  <w:rPr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requested</w:t>
                </w:r>
                <w:r>
                  <w:rPr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any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employee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of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ABC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Company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subsidiaries,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Audit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All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re-</w:t>
                </w:r>
                <w:r>
                  <w:rPr>
                    <w:color w:val="1E487C"/>
                    <w:spacing w:val="-4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quests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 external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parties, either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individual 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regulatory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entity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 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Law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</w:p>
              <w:p w14:paraId="3DBBDA09" w14:textId="77777777" w:rsidR="00451220" w:rsidRDefault="00000000">
                <w:pPr>
                  <w:spacing w:line="218" w:lineRule="exact"/>
                  <w:ind w:left="4576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8"/>
                  </w:rPr>
                  <w:t xml:space="preserve">of </w:t>
                </w:r>
                <w:r>
                  <w:rPr>
                    <w:sz w:val="19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59071" w14:textId="77777777" w:rsidR="00451220" w:rsidRDefault="00000000">
    <w:pPr>
      <w:pStyle w:val="BodyText"/>
      <w:spacing w:line="14" w:lineRule="auto"/>
      <w:rPr>
        <w:sz w:val="20"/>
      </w:rPr>
    </w:pPr>
    <w:r>
      <w:pict w14:anchorId="710A30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0.3pt;margin-top:685.6pt;width:485.15pt;height:47pt;z-index:-15934976;mso-position-horizontal-relative:page;mso-position-vertical-relative:page" filled="f" stroked="f">
          <v:textbox inset="0,0,0,0">
            <w:txbxContent>
              <w:p w14:paraId="06269387" w14:textId="77777777" w:rsidR="00451220" w:rsidRDefault="00000000">
                <w:pPr>
                  <w:spacing w:before="12" w:line="266" w:lineRule="auto"/>
                  <w:ind w:left="20"/>
                  <w:rPr>
                    <w:sz w:val="18"/>
                  </w:rPr>
                </w:pPr>
                <w:r>
                  <w:rPr>
                    <w:color w:val="1E487C"/>
                    <w:sz w:val="18"/>
                  </w:rPr>
                  <w:t>This report is confidential and not to be distributed to anyone beyond the individuals indicated. Should copies of this report be</w:t>
                </w:r>
                <w:r>
                  <w:rPr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requested</w:t>
                </w:r>
                <w:r>
                  <w:rPr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any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employee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of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ABC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Company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subsidiaries,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Audit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All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re-</w:t>
                </w:r>
                <w:r>
                  <w:rPr>
                    <w:color w:val="1E487C"/>
                    <w:spacing w:val="-4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quests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 external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parties, either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individual 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regulatory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entity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 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Law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</w:p>
              <w:p w14:paraId="10F6639C" w14:textId="77777777" w:rsidR="00451220" w:rsidRDefault="00000000">
                <w:pPr>
                  <w:spacing w:line="218" w:lineRule="exact"/>
                  <w:ind w:left="4576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8"/>
                  </w:rPr>
                  <w:t xml:space="preserve">of </w:t>
                </w:r>
                <w:r>
                  <w:rPr>
                    <w:sz w:val="19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C640" w14:textId="77777777" w:rsidR="00451220" w:rsidRDefault="00000000">
    <w:pPr>
      <w:pStyle w:val="BodyText"/>
      <w:spacing w:line="14" w:lineRule="auto"/>
      <w:rPr>
        <w:sz w:val="20"/>
      </w:rPr>
    </w:pPr>
    <w:r>
      <w:pict w14:anchorId="7E3259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3pt;margin-top:685.6pt;width:485.15pt;height:47pt;z-index:-15933952;mso-position-horizontal-relative:page;mso-position-vertical-relative:page" filled="f" stroked="f">
          <v:textbox inset="0,0,0,0">
            <w:txbxContent>
              <w:p w14:paraId="6751A6BE" w14:textId="77777777" w:rsidR="00451220" w:rsidRDefault="00000000">
                <w:pPr>
                  <w:spacing w:before="12" w:line="266" w:lineRule="auto"/>
                  <w:ind w:left="20"/>
                  <w:rPr>
                    <w:sz w:val="18"/>
                  </w:rPr>
                </w:pPr>
                <w:r>
                  <w:rPr>
                    <w:color w:val="1E487C"/>
                    <w:sz w:val="18"/>
                  </w:rPr>
                  <w:t>This report is confidential and not to be distributed to anyone beyond the individuals indicated. Should copies of this report be</w:t>
                </w:r>
                <w:r>
                  <w:rPr>
                    <w:color w:val="1E487C"/>
                    <w:spacing w:val="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requested</w:t>
                </w:r>
                <w:r>
                  <w:rPr>
                    <w:color w:val="1E487C"/>
                    <w:spacing w:val="-4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any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employee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of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ABC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Company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subsidiaries,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request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Audit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All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re-</w:t>
                </w:r>
                <w:r>
                  <w:rPr>
                    <w:color w:val="1E487C"/>
                    <w:spacing w:val="-4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quests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by external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parties, either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individual or</w:t>
                </w:r>
                <w:r>
                  <w:rPr>
                    <w:color w:val="1E487C"/>
                    <w:spacing w:val="-3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regulatory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entity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should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be</w:t>
                </w:r>
                <w:r>
                  <w:rPr>
                    <w:color w:val="1E487C"/>
                    <w:spacing w:val="-2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referred to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the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Law</w:t>
                </w:r>
                <w:r>
                  <w:rPr>
                    <w:color w:val="1E487C"/>
                    <w:spacing w:val="-1"/>
                    <w:sz w:val="18"/>
                  </w:rPr>
                  <w:t xml:space="preserve"> </w:t>
                </w:r>
                <w:r>
                  <w:rPr>
                    <w:color w:val="1E487C"/>
                    <w:sz w:val="18"/>
                  </w:rPr>
                  <w:t>Department.</w:t>
                </w:r>
              </w:p>
              <w:p w14:paraId="4276B551" w14:textId="77777777" w:rsidR="00451220" w:rsidRDefault="00000000">
                <w:pPr>
                  <w:spacing w:line="218" w:lineRule="exact"/>
                  <w:ind w:left="4576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pacing w:val="-3"/>
                    <w:sz w:val="19"/>
                  </w:rPr>
                  <w:t xml:space="preserve"> </w:t>
                </w:r>
                <w:r>
                  <w:rPr>
                    <w:sz w:val="18"/>
                  </w:rPr>
                  <w:t xml:space="preserve">of </w:t>
                </w:r>
                <w:r>
                  <w:rPr>
                    <w:sz w:val="19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6CA19" w14:textId="77777777" w:rsidR="00CF4DA8" w:rsidRDefault="00CF4DA8">
      <w:r>
        <w:separator/>
      </w:r>
    </w:p>
  </w:footnote>
  <w:footnote w:type="continuationSeparator" w:id="0">
    <w:p w14:paraId="0FCF5B97" w14:textId="77777777" w:rsidR="00CF4DA8" w:rsidRDefault="00CF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4B352" w14:textId="77777777" w:rsidR="004512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7408" behindDoc="1" locked="0" layoutInCell="1" allowOverlap="1" wp14:anchorId="222A4153" wp14:editId="143F879F">
          <wp:simplePos x="0" y="0"/>
          <wp:positionH relativeFrom="page">
            <wp:posOffset>701040</wp:posOffset>
          </wp:positionH>
          <wp:positionV relativeFrom="page">
            <wp:posOffset>457200</wp:posOffset>
          </wp:positionV>
          <wp:extent cx="6394450" cy="64831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 rotWithShape="1">
                  <a:blip r:embed="rId1" cstate="print"/>
                  <a:srcRect l="11225"/>
                  <a:stretch/>
                </pic:blipFill>
                <pic:spPr bwMode="auto">
                  <a:xfrm>
                    <a:off x="0" y="0"/>
                    <a:ext cx="6438015" cy="6527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743AE" w14:textId="77777777" w:rsidR="004512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7920" behindDoc="1" locked="0" layoutInCell="1" allowOverlap="1" wp14:anchorId="36D8AD2A" wp14:editId="31780178">
          <wp:simplePos x="0" y="0"/>
          <wp:positionH relativeFrom="page">
            <wp:posOffset>807719</wp:posOffset>
          </wp:positionH>
          <wp:positionV relativeFrom="page">
            <wp:posOffset>457200</wp:posOffset>
          </wp:positionV>
          <wp:extent cx="6153911" cy="649223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53911" cy="649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04B49" w14:textId="77777777" w:rsidR="004512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78944" behindDoc="1" locked="0" layoutInCell="1" allowOverlap="1" wp14:anchorId="37AB2095" wp14:editId="3B0DD337">
          <wp:simplePos x="0" y="0"/>
          <wp:positionH relativeFrom="page">
            <wp:posOffset>914400</wp:posOffset>
          </wp:positionH>
          <wp:positionV relativeFrom="page">
            <wp:posOffset>624840</wp:posOffset>
          </wp:positionV>
          <wp:extent cx="6316979" cy="66674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6979" cy="666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C6CABB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3.7pt;margin-top:126.25pt;width:85.2pt;height:14.2pt;z-index:-15937024;mso-position-horizontal-relative:page;mso-position-vertical-relative:page" filled="f" stroked="f">
          <v:textbox inset="0,0,0,0">
            <w:txbxContent>
              <w:p w14:paraId="481FFA13" w14:textId="77777777" w:rsidR="00451220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1E487C"/>
                  </w:rPr>
                  <w:t>Issue</w:t>
                </w:r>
                <w:r>
                  <w:rPr>
                    <w:color w:val="1E487C"/>
                    <w:spacing w:val="-2"/>
                  </w:rPr>
                  <w:t xml:space="preserve"> </w:t>
                </w:r>
                <w:r>
                  <w:rPr>
                    <w:color w:val="1E487C"/>
                  </w:rPr>
                  <w:t>#:</w:t>
                </w:r>
                <w:r>
                  <w:rPr>
                    <w:color w:val="1E487C"/>
                    <w:spacing w:val="-2"/>
                  </w:rPr>
                  <w:t xml:space="preserve"> </w:t>
                </w:r>
                <w:r>
                  <w:t>IS-001155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DB073" w14:textId="77777777" w:rsidR="004512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0480" behindDoc="1" locked="0" layoutInCell="1" allowOverlap="1" wp14:anchorId="10A1EFA4" wp14:editId="2F7321FF">
          <wp:simplePos x="0" y="0"/>
          <wp:positionH relativeFrom="page">
            <wp:posOffset>914400</wp:posOffset>
          </wp:positionH>
          <wp:positionV relativeFrom="page">
            <wp:posOffset>624840</wp:posOffset>
          </wp:positionV>
          <wp:extent cx="6316979" cy="666749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6979" cy="666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EC0F0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7pt;margin-top:126.25pt;width:85.2pt;height:14.2pt;z-index:-15935488;mso-position-horizontal-relative:page;mso-position-vertical-relative:page" filled="f" stroked="f">
          <v:textbox inset="0,0,0,0">
            <w:txbxContent>
              <w:p w14:paraId="5924B5E1" w14:textId="77777777" w:rsidR="00451220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1E487C"/>
                  </w:rPr>
                  <w:t>Issue</w:t>
                </w:r>
                <w:r>
                  <w:rPr>
                    <w:color w:val="1E487C"/>
                    <w:spacing w:val="-2"/>
                  </w:rPr>
                  <w:t xml:space="preserve"> </w:t>
                </w:r>
                <w:r>
                  <w:rPr>
                    <w:color w:val="1E487C"/>
                  </w:rPr>
                  <w:t>#:</w:t>
                </w:r>
                <w:r>
                  <w:rPr>
                    <w:color w:val="1E487C"/>
                    <w:spacing w:val="-2"/>
                  </w:rPr>
                  <w:t xml:space="preserve"> </w:t>
                </w:r>
                <w:r>
                  <w:t>IS-001167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7EB73" w14:textId="77777777" w:rsidR="0045122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2016" behindDoc="1" locked="0" layoutInCell="1" allowOverlap="1" wp14:anchorId="2EEAE371" wp14:editId="04244331">
          <wp:simplePos x="0" y="0"/>
          <wp:positionH relativeFrom="page">
            <wp:posOffset>914400</wp:posOffset>
          </wp:positionH>
          <wp:positionV relativeFrom="page">
            <wp:posOffset>624840</wp:posOffset>
          </wp:positionV>
          <wp:extent cx="6316979" cy="666749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16979" cy="666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3D78"/>
    <w:multiLevelType w:val="hybridMultilevel"/>
    <w:tmpl w:val="A7F2929C"/>
    <w:lvl w:ilvl="0" w:tplc="DF821928">
      <w:start w:val="1"/>
      <w:numFmt w:val="decimal"/>
      <w:lvlText w:val="%1."/>
      <w:lvlJc w:val="left"/>
      <w:pPr>
        <w:ind w:left="42" w:hanging="227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517A2DE4">
      <w:numFmt w:val="bullet"/>
      <w:lvlText w:val="•"/>
      <w:lvlJc w:val="left"/>
      <w:pPr>
        <w:ind w:left="995" w:hanging="227"/>
      </w:pPr>
      <w:rPr>
        <w:rFonts w:hint="default"/>
        <w:lang w:val="en-US" w:eastAsia="en-US" w:bidi="ar-SA"/>
      </w:rPr>
    </w:lvl>
    <w:lvl w:ilvl="2" w:tplc="CAACB26E">
      <w:numFmt w:val="bullet"/>
      <w:lvlText w:val="•"/>
      <w:lvlJc w:val="left"/>
      <w:pPr>
        <w:ind w:left="1951" w:hanging="227"/>
      </w:pPr>
      <w:rPr>
        <w:rFonts w:hint="default"/>
        <w:lang w:val="en-US" w:eastAsia="en-US" w:bidi="ar-SA"/>
      </w:rPr>
    </w:lvl>
    <w:lvl w:ilvl="3" w:tplc="DC125916">
      <w:numFmt w:val="bullet"/>
      <w:lvlText w:val="•"/>
      <w:lvlJc w:val="left"/>
      <w:pPr>
        <w:ind w:left="2907" w:hanging="227"/>
      </w:pPr>
      <w:rPr>
        <w:rFonts w:hint="default"/>
        <w:lang w:val="en-US" w:eastAsia="en-US" w:bidi="ar-SA"/>
      </w:rPr>
    </w:lvl>
    <w:lvl w:ilvl="4" w:tplc="0CCEA90E">
      <w:numFmt w:val="bullet"/>
      <w:lvlText w:val="•"/>
      <w:lvlJc w:val="left"/>
      <w:pPr>
        <w:ind w:left="3863" w:hanging="227"/>
      </w:pPr>
      <w:rPr>
        <w:rFonts w:hint="default"/>
        <w:lang w:val="en-US" w:eastAsia="en-US" w:bidi="ar-SA"/>
      </w:rPr>
    </w:lvl>
    <w:lvl w:ilvl="5" w:tplc="0B145790">
      <w:numFmt w:val="bullet"/>
      <w:lvlText w:val="•"/>
      <w:lvlJc w:val="left"/>
      <w:pPr>
        <w:ind w:left="4818" w:hanging="227"/>
      </w:pPr>
      <w:rPr>
        <w:rFonts w:hint="default"/>
        <w:lang w:val="en-US" w:eastAsia="en-US" w:bidi="ar-SA"/>
      </w:rPr>
    </w:lvl>
    <w:lvl w:ilvl="6" w:tplc="B60C9884">
      <w:numFmt w:val="bullet"/>
      <w:lvlText w:val="•"/>
      <w:lvlJc w:val="left"/>
      <w:pPr>
        <w:ind w:left="5774" w:hanging="227"/>
      </w:pPr>
      <w:rPr>
        <w:rFonts w:hint="default"/>
        <w:lang w:val="en-US" w:eastAsia="en-US" w:bidi="ar-SA"/>
      </w:rPr>
    </w:lvl>
    <w:lvl w:ilvl="7" w:tplc="A290EB82">
      <w:numFmt w:val="bullet"/>
      <w:lvlText w:val="•"/>
      <w:lvlJc w:val="left"/>
      <w:pPr>
        <w:ind w:left="6730" w:hanging="227"/>
      </w:pPr>
      <w:rPr>
        <w:rFonts w:hint="default"/>
        <w:lang w:val="en-US" w:eastAsia="en-US" w:bidi="ar-SA"/>
      </w:rPr>
    </w:lvl>
    <w:lvl w:ilvl="8" w:tplc="A332680C">
      <w:numFmt w:val="bullet"/>
      <w:lvlText w:val="•"/>
      <w:lvlJc w:val="left"/>
      <w:pPr>
        <w:ind w:left="7686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3D81376E"/>
    <w:multiLevelType w:val="hybridMultilevel"/>
    <w:tmpl w:val="4FB0A1A8"/>
    <w:lvl w:ilvl="0" w:tplc="128002EE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D88EDB2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51EEA4A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3" w:tplc="FC12EF28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4" w:tplc="79CC08E2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5" w:tplc="1E0E7736"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6" w:tplc="D6923320"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7" w:tplc="A210B4C8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  <w:lvl w:ilvl="8" w:tplc="CFCC83CA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num w:numId="1" w16cid:durableId="162622065">
    <w:abstractNumId w:val="0"/>
  </w:num>
  <w:num w:numId="2" w16cid:durableId="41386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220"/>
    <w:rsid w:val="002746BC"/>
    <w:rsid w:val="00451220"/>
    <w:rsid w:val="00B35B99"/>
    <w:rsid w:val="00C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18C39DB"/>
  <w15:docId w15:val="{C6153321-E43D-4374-94F6-4945EEAE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69" w:lineRule="exact"/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274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4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2295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Internal Audit Report and Associated Issues - 2023 CCA of HR - Payroll Administration - Final</dc:title>
  <dc:creator>X165051</dc:creator>
  <cp:lastModifiedBy>Shubham A Singh</cp:lastModifiedBy>
  <cp:revision>3</cp:revision>
  <dcterms:created xsi:type="dcterms:W3CDTF">2024-08-07T11:15:00Z</dcterms:created>
  <dcterms:modified xsi:type="dcterms:W3CDTF">2024-08-07T11:31:00Z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2024-08-07T00:00:00Z</vt:filetime>
  </property>
</Properties>
</file>