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C54A" w14:textId="77777777" w:rsidR="001F1010" w:rsidRDefault="001F1010">
      <w:pPr>
        <w:pStyle w:val="BodyText"/>
        <w:rPr>
          <w:sz w:val="20"/>
        </w:rPr>
      </w:pPr>
    </w:p>
    <w:p w14:paraId="762FAEAD" w14:textId="77777777" w:rsidR="001F1010" w:rsidRDefault="001F1010">
      <w:pPr>
        <w:pStyle w:val="BodyText"/>
        <w:spacing w:before="6"/>
        <w:rPr>
          <w:sz w:val="20"/>
        </w:rPr>
      </w:pPr>
    </w:p>
    <w:p w14:paraId="1E4D1A5C" w14:textId="5A0B7C99" w:rsidR="001F1010" w:rsidRDefault="00000000">
      <w:pPr>
        <w:pStyle w:val="BodyText"/>
        <w:spacing w:before="90"/>
        <w:ind w:left="180" w:right="168" w:hanging="10"/>
      </w:pPr>
      <w:r>
        <w:t>Internal Audit has assessed the control condition of the key controls related to the Structured Settlement Annuities</w:t>
      </w:r>
      <w:r>
        <w:rPr>
          <w:spacing w:val="-52"/>
        </w:rPr>
        <w:t xml:space="preserve"> </w:t>
      </w:r>
      <w:r>
        <w:t>(SSA)</w:t>
      </w:r>
      <w:r>
        <w:rPr>
          <w:spacing w:val="-2"/>
        </w:rPr>
        <w:t xml:space="preserve"> </w:t>
      </w:r>
      <w:r>
        <w:t>reinsurance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635C6B">
        <w:t>Prisma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Reinsurance,</w:t>
      </w:r>
      <w:r>
        <w:rPr>
          <w:spacing w:val="-2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(</w:t>
      </w:r>
      <w:r w:rsidR="00635C6B">
        <w:t>Prisma</w:t>
      </w:r>
      <w:r>
        <w:t>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PGIM</w:t>
      </w:r>
      <w:r>
        <w:rPr>
          <w:spacing w:val="-1"/>
        </w:rPr>
        <w:t xml:space="preserve"> </w:t>
      </w:r>
      <w:r>
        <w:t>Operations</w:t>
      </w:r>
      <w:r>
        <w:rPr>
          <w:spacing w:val="-52"/>
        </w:rPr>
        <w:t xml:space="preserve"> </w:t>
      </w:r>
      <w:r>
        <w:t>&amp; Innovations (O&amp;I) and the Retirement Strategies Controllers teams for the period September 1, 2023, to</w:t>
      </w:r>
      <w:r>
        <w:rPr>
          <w:spacing w:val="1"/>
        </w:rPr>
        <w:t xml:space="preserve"> </w:t>
      </w:r>
      <w:r>
        <w:t>November 30, 2023. A control condition audit is designed to provide reasonable assurance as to the design and</w:t>
      </w:r>
      <w:r>
        <w:rPr>
          <w:spacing w:val="1"/>
        </w:rPr>
        <w:t xml:space="preserve"> </w:t>
      </w:r>
      <w:r>
        <w:t>effectiveness of the system of internal</w:t>
      </w:r>
      <w:r>
        <w:rPr>
          <w:spacing w:val="-1"/>
        </w:rPr>
        <w:t xml:space="preserve"> </w:t>
      </w:r>
      <w:r>
        <w:t>control implemented by management.</w:t>
      </w:r>
    </w:p>
    <w:p w14:paraId="0EF90A79" w14:textId="77777777" w:rsidR="001F1010" w:rsidRDefault="001F1010">
      <w:pPr>
        <w:pStyle w:val="BodyText"/>
      </w:pPr>
    </w:p>
    <w:p w14:paraId="03138FA3" w14:textId="77777777" w:rsidR="001F1010" w:rsidRDefault="00000000">
      <w:pPr>
        <w:pStyle w:val="BodyText"/>
        <w:ind w:left="180" w:right="550" w:hanging="10"/>
      </w:pPr>
      <w:r>
        <w:t>Internal Audit's testing resulted in the identification of 2 low risk issues. The details of the issues identified, and</w:t>
      </w:r>
      <w:r>
        <w:rPr>
          <w:spacing w:val="-52"/>
        </w:rPr>
        <w:t xml:space="preserve"> </w:t>
      </w:r>
      <w:r>
        <w:t>management's</w:t>
      </w:r>
      <w:r>
        <w:rPr>
          <w:spacing w:val="-1"/>
        </w:rPr>
        <w:t xml:space="preserve"> </w:t>
      </w:r>
      <w:r>
        <w:t>action plans can be reviewed in</w:t>
      </w:r>
      <w:r>
        <w:rPr>
          <w:spacing w:val="-1"/>
        </w:rPr>
        <w:t xml:space="preserve"> </w:t>
      </w:r>
      <w:r>
        <w:t>the following pages.</w:t>
      </w:r>
    </w:p>
    <w:p w14:paraId="207A253A" w14:textId="77777777" w:rsidR="001F1010" w:rsidRDefault="001F1010">
      <w:pPr>
        <w:pStyle w:val="BodyText"/>
        <w:spacing w:before="1"/>
      </w:pPr>
    </w:p>
    <w:p w14:paraId="08F2E0B7" w14:textId="77777777" w:rsidR="001F1010" w:rsidRDefault="00000000">
      <w:pPr>
        <w:pStyle w:val="BodyText"/>
        <w:spacing w:line="480" w:lineRule="auto"/>
        <w:ind w:left="170" w:right="5385"/>
      </w:pPr>
      <w:r>
        <w:rPr>
          <w:color w:val="1E487C"/>
        </w:rPr>
        <w:t xml:space="preserve">Control Condition: </w:t>
      </w:r>
      <w:r>
        <w:t>Satisfactory with Limited Exceptions</w:t>
      </w:r>
      <w:r>
        <w:rPr>
          <w:spacing w:val="-52"/>
        </w:rPr>
        <w:t xml:space="preserve"> </w:t>
      </w:r>
      <w:r>
        <w:rPr>
          <w:color w:val="1E487C"/>
        </w:rPr>
        <w:t>Control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 xml:space="preserve">Environment: </w:t>
      </w:r>
      <w:r>
        <w:t>Unrated</w:t>
      </w:r>
    </w:p>
    <w:p w14:paraId="68A39143" w14:textId="77777777" w:rsidR="001F1010" w:rsidRDefault="00000000">
      <w:pPr>
        <w:pStyle w:val="BodyText"/>
        <w:spacing w:line="253" w:lineRule="exact"/>
        <w:ind w:left="170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6608ADCD" w14:textId="600E43EB" w:rsidR="001F1010" w:rsidRDefault="00000000">
      <w:pPr>
        <w:pStyle w:val="BodyText"/>
        <w:ind w:left="180" w:right="168" w:hanging="10"/>
      </w:pPr>
      <w:r>
        <w:t>Based on the results of the work performed, Internal Audit has concluded that the system of internal controls</w:t>
      </w:r>
      <w:r>
        <w:rPr>
          <w:spacing w:val="1"/>
        </w:rPr>
        <w:t xml:space="preserve"> </w:t>
      </w:r>
      <w:r>
        <w:t>implemented by management is adequately designed and operating as intended to mitigate the risks associated with</w:t>
      </w:r>
      <w:r>
        <w:rPr>
          <w:spacing w:val="-52"/>
        </w:rPr>
        <w:t xml:space="preserve"> </w:t>
      </w:r>
      <w:r>
        <w:t>the execution of the transaction. The identified issues have limited impact on the ability of controls to mitigate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risks.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secondary/peer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invested</w:t>
      </w:r>
      <w:r>
        <w:rPr>
          <w:spacing w:val="-1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 xml:space="preserve">provided to </w:t>
      </w:r>
      <w:r w:rsidR="00635C6B">
        <w:t>Prisma</w:t>
      </w:r>
      <w:r>
        <w:t xml:space="preserve"> by PGIM O&amp;I and implement EUCS controls for tools used in the reinsurance settlement</w:t>
      </w:r>
      <w:r>
        <w:rPr>
          <w:spacing w:val="1"/>
        </w:rPr>
        <w:t xml:space="preserve"> </w:t>
      </w:r>
      <w:r>
        <w:t>process performed by Retirement Strategies Controllers. As a result, Control Condition has been rated Satisfactory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Limited Exceptions.</w:t>
      </w:r>
    </w:p>
    <w:p w14:paraId="760071FA" w14:textId="77777777" w:rsidR="001F1010" w:rsidRDefault="001F1010">
      <w:pPr>
        <w:pStyle w:val="BodyText"/>
        <w:spacing w:before="11"/>
        <w:rPr>
          <w:sz w:val="21"/>
        </w:rPr>
      </w:pPr>
    </w:p>
    <w:p w14:paraId="0A21823A" w14:textId="77777777" w:rsidR="001F1010" w:rsidRDefault="00000000">
      <w:pPr>
        <w:pStyle w:val="BodyText"/>
        <w:ind w:left="170"/>
      </w:pPr>
      <w:r>
        <w:rPr>
          <w:color w:val="1E487C"/>
        </w:rPr>
        <w:t>Scope:</w:t>
      </w:r>
    </w:p>
    <w:p w14:paraId="428DAF08" w14:textId="10FC4BCA" w:rsidR="001F1010" w:rsidRDefault="00000000">
      <w:pPr>
        <w:pStyle w:val="BodyText"/>
        <w:ind w:left="186" w:right="269"/>
      </w:pPr>
      <w:r>
        <w:t xml:space="preserve">In September 2023, ABC Company executed a reinsurance transaction with </w:t>
      </w:r>
      <w:r w:rsidR="00635C6B">
        <w:t>Prisma</w:t>
      </w:r>
      <w:r>
        <w:t xml:space="preserve"> in which $10 billion of SSA</w:t>
      </w:r>
      <w:r>
        <w:rPr>
          <w:spacing w:val="1"/>
        </w:rPr>
        <w:t xml:space="preserve"> </w:t>
      </w:r>
      <w:r>
        <w:t>liabilities were ceded. The scope included an assessment of the design and effectiveness of the key controls related</w:t>
      </w:r>
      <w:r>
        <w:rPr>
          <w:spacing w:val="-52"/>
        </w:rPr>
        <w:t xml:space="preserve"> </w:t>
      </w:r>
      <w:r>
        <w:t>to asset transfer and Accounting Services Agreement processes performed by PGIM O&amp;I and the monthly and</w:t>
      </w:r>
      <w:r>
        <w:rPr>
          <w:spacing w:val="1"/>
        </w:rPr>
        <w:t xml:space="preserve"> </w:t>
      </w:r>
      <w:r>
        <w:t>quarterly reinsurance settlement processes performed by the Retirement Strategies Controllers teams in support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reinsurance</w:t>
      </w:r>
      <w:r>
        <w:rPr>
          <w:spacing w:val="-1"/>
        </w:rPr>
        <w:t xml:space="preserve"> </w:t>
      </w:r>
      <w:r>
        <w:t>transaction.</w:t>
      </w:r>
      <w:r>
        <w:rPr>
          <w:spacing w:val="-1"/>
        </w:rPr>
        <w:t xml:space="preserve"> </w:t>
      </w:r>
      <w:r>
        <w:t>The audit</w:t>
      </w:r>
      <w:r>
        <w:rPr>
          <w:spacing w:val="-1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certain key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including:</w:t>
      </w:r>
    </w:p>
    <w:p w14:paraId="50809614" w14:textId="77777777" w:rsidR="001F1010" w:rsidRDefault="001F1010">
      <w:pPr>
        <w:pStyle w:val="BodyText"/>
      </w:pPr>
    </w:p>
    <w:p w14:paraId="700A64BD" w14:textId="77777777" w:rsidR="001F1010" w:rsidRDefault="00000000">
      <w:pPr>
        <w:pStyle w:val="ListParagraph"/>
        <w:numPr>
          <w:ilvl w:val="0"/>
          <w:numId w:val="2"/>
        </w:numPr>
        <w:tabs>
          <w:tab w:val="left" w:pos="906"/>
          <w:tab w:val="left" w:pos="907"/>
        </w:tabs>
        <w:spacing w:line="269" w:lineRule="exact"/>
        <w:ind w:left="906" w:hanging="361"/>
      </w:pPr>
      <w:r>
        <w:t>Accounting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reporting</w:t>
      </w:r>
    </w:p>
    <w:p w14:paraId="59C7A0F1" w14:textId="77777777" w:rsidR="001F1010" w:rsidRDefault="00000000">
      <w:pPr>
        <w:pStyle w:val="ListParagraph"/>
        <w:numPr>
          <w:ilvl w:val="0"/>
          <w:numId w:val="2"/>
        </w:numPr>
        <w:tabs>
          <w:tab w:val="left" w:pos="906"/>
          <w:tab w:val="left" w:pos="907"/>
        </w:tabs>
        <w:spacing w:line="465" w:lineRule="auto"/>
        <w:ind w:right="3450" w:firstLine="360"/>
      </w:pPr>
      <w:r>
        <w:t>Accounting and Financial Reporting – internal accounting or reporting</w:t>
      </w:r>
      <w:r>
        <w:rPr>
          <w:spacing w:val="-5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focused on controls in</w:t>
      </w:r>
      <w:r>
        <w:rPr>
          <w:spacing w:val="-1"/>
        </w:rPr>
        <w:t xml:space="preserve"> </w:t>
      </w:r>
      <w:r>
        <w:t>certain key processes including:</w:t>
      </w:r>
    </w:p>
    <w:p w14:paraId="5A76282C" w14:textId="77777777" w:rsidR="001F1010" w:rsidRDefault="00000000">
      <w:pPr>
        <w:pStyle w:val="ListParagraph"/>
        <w:numPr>
          <w:ilvl w:val="0"/>
          <w:numId w:val="2"/>
        </w:numPr>
        <w:tabs>
          <w:tab w:val="left" w:pos="906"/>
          <w:tab w:val="left" w:pos="907"/>
        </w:tabs>
        <w:spacing w:before="15" w:line="269" w:lineRule="exact"/>
        <w:ind w:left="906" w:hanging="361"/>
      </w:pPr>
      <w:r>
        <w:t>PGIM</w:t>
      </w:r>
      <w:r>
        <w:rPr>
          <w:spacing w:val="-1"/>
        </w:rPr>
        <w:t xml:space="preserve"> </w:t>
      </w:r>
      <w:r>
        <w:t>O&amp;I</w:t>
      </w:r>
    </w:p>
    <w:p w14:paraId="01F00C09" w14:textId="77777777" w:rsidR="001F1010" w:rsidRDefault="00000000">
      <w:pPr>
        <w:pStyle w:val="ListParagraph"/>
        <w:numPr>
          <w:ilvl w:val="1"/>
          <w:numId w:val="2"/>
        </w:numPr>
        <w:tabs>
          <w:tab w:val="left" w:pos="1627"/>
        </w:tabs>
        <w:spacing w:line="261" w:lineRule="exact"/>
      </w:pPr>
      <w:r>
        <w:t>Public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accounting,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accounting</w:t>
      </w:r>
    </w:p>
    <w:p w14:paraId="710A65E5" w14:textId="77777777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spacing w:line="244" w:lineRule="exact"/>
        <w:ind w:hanging="361"/>
      </w:pPr>
      <w:r>
        <w:t>PAM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ledger</w:t>
      </w:r>
      <w:r>
        <w:rPr>
          <w:spacing w:val="-1"/>
        </w:rPr>
        <w:t xml:space="preserve"> </w:t>
      </w:r>
      <w:r>
        <w:t>reconciliations</w:t>
      </w:r>
    </w:p>
    <w:p w14:paraId="36F3FDFA" w14:textId="77777777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ind w:hanging="361"/>
      </w:pPr>
      <w:r>
        <w:t>Monthly</w:t>
      </w:r>
      <w:r>
        <w:rPr>
          <w:spacing w:val="-2"/>
        </w:rPr>
        <w:t xml:space="preserve"> </w:t>
      </w:r>
      <w:r>
        <w:t>Custodian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Pam</w:t>
      </w:r>
      <w:r>
        <w:rPr>
          <w:spacing w:val="-2"/>
        </w:rPr>
        <w:t xml:space="preserve"> </w:t>
      </w:r>
      <w:r>
        <w:t>reconciliation</w:t>
      </w:r>
    </w:p>
    <w:p w14:paraId="49632D12" w14:textId="77777777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ind w:hanging="361"/>
      </w:pPr>
      <w:r>
        <w:t>Aladdin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Pam</w:t>
      </w:r>
      <w:r>
        <w:rPr>
          <w:spacing w:val="-1"/>
        </w:rPr>
        <w:t xml:space="preserve"> </w:t>
      </w:r>
      <w:r>
        <w:t>reconciliation</w:t>
      </w:r>
    </w:p>
    <w:p w14:paraId="7CC4EFCA" w14:textId="77777777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ind w:hanging="361"/>
      </w:pPr>
      <w:r>
        <w:t>Asset</w:t>
      </w:r>
      <w:r>
        <w:rPr>
          <w:spacing w:val="-5"/>
        </w:rPr>
        <w:t xml:space="preserve"> </w:t>
      </w:r>
      <w:r>
        <w:t>transfer</w:t>
      </w:r>
    </w:p>
    <w:p w14:paraId="2A3019EF" w14:textId="681E4F74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spacing w:before="1"/>
        <w:ind w:right="568"/>
      </w:pPr>
      <w:r>
        <w:t xml:space="preserve">Investment accounting ledger feed preparation and submission to </w:t>
      </w:r>
      <w:r w:rsidR="00635C6B">
        <w:t>Prisma</w:t>
      </w:r>
      <w:r>
        <w:t xml:space="preserve"> as part of the</w:t>
      </w:r>
      <w:r>
        <w:rPr>
          <w:spacing w:val="-52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Services Agreement</w:t>
      </w:r>
    </w:p>
    <w:p w14:paraId="125FC1EA" w14:textId="77777777" w:rsidR="001F1010" w:rsidRDefault="00000000">
      <w:pPr>
        <w:pStyle w:val="ListParagraph"/>
        <w:numPr>
          <w:ilvl w:val="1"/>
          <w:numId w:val="2"/>
        </w:numPr>
        <w:tabs>
          <w:tab w:val="left" w:pos="1627"/>
        </w:tabs>
        <w:spacing w:line="271" w:lineRule="exact"/>
      </w:pPr>
      <w:r>
        <w:t>Investment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statutory</w:t>
      </w:r>
      <w:r>
        <w:rPr>
          <w:spacing w:val="-2"/>
        </w:rPr>
        <w:t xml:space="preserve"> </w:t>
      </w:r>
      <w:r>
        <w:t>reporting,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derivatives</w:t>
      </w:r>
      <w:r>
        <w:rPr>
          <w:spacing w:val="-2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</w:p>
    <w:p w14:paraId="7E9EEA8C" w14:textId="77777777" w:rsidR="001F1010" w:rsidRDefault="001F1010">
      <w:pPr>
        <w:pStyle w:val="BodyText"/>
        <w:rPr>
          <w:sz w:val="20"/>
        </w:rPr>
      </w:pPr>
    </w:p>
    <w:p w14:paraId="3198F412" w14:textId="77777777" w:rsidR="001F1010" w:rsidRDefault="001F1010">
      <w:pPr>
        <w:pStyle w:val="BodyText"/>
        <w:spacing w:before="4"/>
        <w:rPr>
          <w:sz w:val="20"/>
        </w:rPr>
      </w:pPr>
    </w:p>
    <w:p w14:paraId="53D83014" w14:textId="77777777" w:rsidR="001F1010" w:rsidRDefault="00000000">
      <w:pPr>
        <w:spacing w:before="92" w:line="266" w:lineRule="auto"/>
        <w:ind w:left="516" w:right="216"/>
        <w:rPr>
          <w:sz w:val="18"/>
        </w:rPr>
      </w:pPr>
      <w:r>
        <w:rPr>
          <w:color w:val="1E487C"/>
          <w:sz w:val="18"/>
        </w:rPr>
        <w:t>This report is confidential and not to be distributed to anyone beyond the individuals indicated. Should copies of this report be requested</w:t>
      </w:r>
      <w:r>
        <w:rPr>
          <w:color w:val="1E487C"/>
          <w:spacing w:val="-42"/>
          <w:sz w:val="18"/>
        </w:rPr>
        <w:t xml:space="preserve"> </w:t>
      </w:r>
      <w:r>
        <w:rPr>
          <w:color w:val="1E487C"/>
          <w:sz w:val="18"/>
        </w:rPr>
        <w:t>by any employee of ABC Company or subsidiaries, the request should be referred to the Internal Audit Department. All requests by ex-</w:t>
      </w:r>
      <w:r>
        <w:rPr>
          <w:color w:val="1E487C"/>
          <w:spacing w:val="1"/>
          <w:sz w:val="18"/>
        </w:rPr>
        <w:t xml:space="preserve"> </w:t>
      </w:r>
      <w:r>
        <w:rPr>
          <w:color w:val="1E487C"/>
          <w:sz w:val="18"/>
        </w:rPr>
        <w:t>ternal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parties, either individual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or regulatory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entity should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be referred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to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the Law Department.</w:t>
      </w:r>
    </w:p>
    <w:p w14:paraId="27B94B6E" w14:textId="77777777" w:rsidR="001F1010" w:rsidRDefault="00000000">
      <w:pPr>
        <w:spacing w:before="2"/>
        <w:ind w:left="5176"/>
        <w:rPr>
          <w:sz w:val="19"/>
        </w:rPr>
      </w:pPr>
      <w:r>
        <w:rPr>
          <w:sz w:val="19"/>
        </w:rPr>
        <w:t>1</w:t>
      </w:r>
      <w:r>
        <w:rPr>
          <w:spacing w:val="-3"/>
          <w:sz w:val="19"/>
        </w:rPr>
        <w:t xml:space="preserve"> </w:t>
      </w:r>
      <w:r>
        <w:rPr>
          <w:sz w:val="18"/>
        </w:rPr>
        <w:t xml:space="preserve">of </w:t>
      </w:r>
      <w:r>
        <w:rPr>
          <w:sz w:val="19"/>
        </w:rPr>
        <w:t>6</w:t>
      </w:r>
    </w:p>
    <w:p w14:paraId="0A8F7E7A" w14:textId="77777777" w:rsidR="001F1010" w:rsidRDefault="001F1010">
      <w:pPr>
        <w:rPr>
          <w:sz w:val="19"/>
        </w:rPr>
        <w:sectPr w:rsidR="001F10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920" w:bottom="280" w:left="740" w:header="720" w:footer="720" w:gutter="0"/>
          <w:pgNumType w:start="1"/>
          <w:cols w:space="720"/>
        </w:sectPr>
      </w:pPr>
    </w:p>
    <w:p w14:paraId="3DF3B4AF" w14:textId="77777777" w:rsidR="001F1010" w:rsidRDefault="001F1010">
      <w:pPr>
        <w:pStyle w:val="BodyText"/>
        <w:rPr>
          <w:sz w:val="20"/>
        </w:rPr>
      </w:pPr>
    </w:p>
    <w:p w14:paraId="4967776A" w14:textId="77777777" w:rsidR="001F1010" w:rsidRDefault="001F1010">
      <w:pPr>
        <w:pStyle w:val="BodyText"/>
        <w:spacing w:before="4"/>
        <w:rPr>
          <w:sz w:val="20"/>
        </w:rPr>
      </w:pPr>
    </w:p>
    <w:p w14:paraId="215CEF2F" w14:textId="0FE8C251" w:rsidR="001F1010" w:rsidRDefault="00635C6B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spacing w:before="92"/>
        <w:ind w:right="1119"/>
      </w:pPr>
      <w:r>
        <w:t>Prisma</w:t>
      </w:r>
      <w:r w:rsidR="00000000">
        <w:t xml:space="preserve"> Bermuda Solvency Capital Requirement (BSCR) reporting as part of the</w:t>
      </w:r>
      <w:r w:rsidR="00000000">
        <w:rPr>
          <w:spacing w:val="-52"/>
        </w:rPr>
        <w:t xml:space="preserve"> </w:t>
      </w:r>
      <w:r w:rsidR="00000000">
        <w:t>Accounting</w:t>
      </w:r>
      <w:r w:rsidR="00000000">
        <w:rPr>
          <w:spacing w:val="-1"/>
        </w:rPr>
        <w:t xml:space="preserve"> </w:t>
      </w:r>
      <w:r w:rsidR="00000000">
        <w:t>Services Agreement</w:t>
      </w:r>
    </w:p>
    <w:p w14:paraId="0550911B" w14:textId="77777777" w:rsidR="001F1010" w:rsidRDefault="001F1010">
      <w:pPr>
        <w:pStyle w:val="BodyText"/>
        <w:spacing w:before="1"/>
      </w:pPr>
    </w:p>
    <w:p w14:paraId="7EDB60AB" w14:textId="77777777" w:rsidR="001F1010" w:rsidRDefault="00000000">
      <w:pPr>
        <w:pStyle w:val="ListParagraph"/>
        <w:numPr>
          <w:ilvl w:val="0"/>
          <w:numId w:val="2"/>
        </w:numPr>
        <w:tabs>
          <w:tab w:val="left" w:pos="906"/>
          <w:tab w:val="left" w:pos="907"/>
        </w:tabs>
        <w:spacing w:line="269" w:lineRule="exact"/>
        <w:ind w:left="906" w:hanging="361"/>
      </w:pPr>
      <w:r>
        <w:t>Retirement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Controllers</w:t>
      </w:r>
    </w:p>
    <w:p w14:paraId="4118723D" w14:textId="77777777" w:rsidR="001F1010" w:rsidRDefault="00000000">
      <w:pPr>
        <w:pStyle w:val="ListParagraph"/>
        <w:numPr>
          <w:ilvl w:val="1"/>
          <w:numId w:val="2"/>
        </w:numPr>
        <w:tabs>
          <w:tab w:val="left" w:pos="1627"/>
        </w:tabs>
        <w:spacing w:line="262" w:lineRule="exact"/>
      </w:pPr>
      <w:r>
        <w:t>Financial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</w:t>
      </w:r>
    </w:p>
    <w:p w14:paraId="61E35A36" w14:textId="77777777" w:rsidR="001F1010" w:rsidRDefault="00000000">
      <w:pPr>
        <w:pStyle w:val="ListParagraph"/>
        <w:numPr>
          <w:ilvl w:val="2"/>
          <w:numId w:val="2"/>
        </w:numPr>
        <w:tabs>
          <w:tab w:val="left" w:pos="2346"/>
          <w:tab w:val="left" w:pos="2347"/>
        </w:tabs>
        <w:spacing w:line="480" w:lineRule="auto"/>
        <w:ind w:left="186" w:right="4224" w:firstLine="1800"/>
      </w:pPr>
      <w:r>
        <w:t>Monthly and quarterly reinsurance settlement</w:t>
      </w:r>
      <w:r>
        <w:rPr>
          <w:spacing w:val="-5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review:</w:t>
      </w:r>
    </w:p>
    <w:p w14:paraId="6A08B177" w14:textId="77777777" w:rsidR="001F1010" w:rsidRDefault="00000000">
      <w:pPr>
        <w:pStyle w:val="ListParagraph"/>
        <w:numPr>
          <w:ilvl w:val="0"/>
          <w:numId w:val="2"/>
        </w:numPr>
        <w:tabs>
          <w:tab w:val="left" w:pos="906"/>
          <w:tab w:val="left" w:pos="907"/>
        </w:tabs>
        <w:spacing w:line="269" w:lineRule="exact"/>
        <w:ind w:left="906" w:hanging="361"/>
      </w:pPr>
      <w:r>
        <w:t>Review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Services is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audit.</w:t>
      </w:r>
    </w:p>
    <w:p w14:paraId="6A8D18FD" w14:textId="77777777" w:rsidR="001F1010" w:rsidRDefault="001F1010">
      <w:pPr>
        <w:pStyle w:val="BodyText"/>
        <w:spacing w:before="2"/>
        <w:rPr>
          <w:sz w:val="21"/>
        </w:rPr>
      </w:pPr>
    </w:p>
    <w:p w14:paraId="42049E4B" w14:textId="77777777" w:rsidR="001F1010" w:rsidRDefault="00000000">
      <w:pPr>
        <w:pStyle w:val="BodyText"/>
        <w:ind w:left="180" w:right="144" w:hanging="10"/>
      </w:pPr>
      <w:r>
        <w:t>Any questions regarding this report should be directed to the Group Vice President or Vice President responsible for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audit, John </w:t>
      </w:r>
      <w:proofErr w:type="spellStart"/>
      <w:r>
        <w:t>Koskoski</w:t>
      </w:r>
      <w:proofErr w:type="spellEnd"/>
      <w:r>
        <w:t xml:space="preserve"> and John Graziano, respectively.</w:t>
      </w:r>
    </w:p>
    <w:p w14:paraId="46396ACD" w14:textId="77777777" w:rsidR="001F1010" w:rsidRDefault="001F1010">
      <w:pPr>
        <w:sectPr w:rsidR="001F1010">
          <w:headerReference w:type="default" r:id="rId13"/>
          <w:footerReference w:type="default" r:id="rId14"/>
          <w:pgSz w:w="12240" w:h="15840"/>
          <w:pgMar w:top="1740" w:right="920" w:bottom="1620" w:left="740" w:header="720" w:footer="1424" w:gutter="0"/>
          <w:pgNumType w:start="2"/>
          <w:cols w:space="720"/>
        </w:sectPr>
      </w:pPr>
    </w:p>
    <w:p w14:paraId="23C32639" w14:textId="77777777" w:rsidR="001F1010" w:rsidRDefault="001F1010">
      <w:pPr>
        <w:pStyle w:val="BodyText"/>
        <w:rPr>
          <w:sz w:val="20"/>
        </w:rPr>
      </w:pPr>
    </w:p>
    <w:p w14:paraId="109E13D4" w14:textId="77777777" w:rsidR="001F1010" w:rsidRDefault="001F1010">
      <w:pPr>
        <w:pStyle w:val="BodyText"/>
        <w:spacing w:before="1"/>
        <w:rPr>
          <w:sz w:val="23"/>
        </w:rPr>
      </w:pPr>
    </w:p>
    <w:p w14:paraId="1B6B6B8F" w14:textId="77777777" w:rsidR="001F1010" w:rsidRDefault="00000000">
      <w:pPr>
        <w:pStyle w:val="BodyText"/>
        <w:spacing w:before="91"/>
        <w:ind w:left="161"/>
      </w:pPr>
      <w:r>
        <w:pict w14:anchorId="509FBA7D">
          <v:group id="_x0000_s2054" style="position:absolute;left:0;text-align:left;margin-left:42.05pt;margin-top:3.1pt;width:520.8pt;height:53.6pt;z-index:-15866368;mso-position-horizontal-relative:page" coordorigin="841,62" coordsize="10416,1072">
            <v:rect id="_x0000_s2062" style="position:absolute;left:871;top:92;width:10356;height:252" fillcolor="#95b3d7" stroked="f"/>
            <v:shape id="_x0000_s2061" style="position:absolute;left:841;top:62;width:10416;height:282" coordorigin="841,62" coordsize="10416,282" path="m11257,62r-30,l871,62r-30,l841,92r,252l871,344r,-252l11227,92r,252l11257,344r,-252l11257,62xe" fillcolor="#375c8a" stroked="f">
              <v:path arrowok="t"/>
            </v:shape>
            <v:rect id="_x0000_s2060" style="position:absolute;left:871;top:344;width:10356;height:254" fillcolor="#95b3d7" stroked="f"/>
            <v:shape id="_x0000_s2059" style="position:absolute;left:841;top:344;width:10416;height:254" coordorigin="841,344" coordsize="10416,254" o:spt="100" adj="0,,0" path="m871,344r-30,l841,598r30,l871,344xm11257,344r-30,l11227,598r30,l11257,344xe" fillcolor="#375c8a" stroked="f">
              <v:stroke joinstyle="round"/>
              <v:formulas/>
              <v:path arrowok="t" o:connecttype="segments"/>
            </v:shape>
            <v:rect id="_x0000_s2058" style="position:absolute;left:871;top:597;width:10356;height:254" fillcolor="#95b3d7" stroked="f"/>
            <v:shape id="_x0000_s2057" style="position:absolute;left:841;top:597;width:10416;height:254" coordorigin="841,598" coordsize="10416,254" o:spt="100" adj="0,,0" path="m871,598r-30,l841,851r30,l871,598xm11257,598r-30,l11227,851r30,l11257,598xe" fillcolor="#375c8a" stroked="f">
              <v:stroke joinstyle="round"/>
              <v:formulas/>
              <v:path arrowok="t" o:connecttype="segments"/>
            </v:shape>
            <v:rect id="_x0000_s2056" style="position:absolute;left:871;top:850;width:10356;height:254" fillcolor="#95b3d7" stroked="f"/>
            <v:shape id="_x0000_s2055" style="position:absolute;left:841;top:850;width:10416;height:284" coordorigin="841,851" coordsize="10416,284" path="m11257,851r-30,l11227,1104r-10356,l871,851r-30,l841,1104r,30l871,1134r10356,l11257,1134r,-30l11257,851xe" fillcolor="#375c8a" stroked="f">
              <v:path arrowok="t"/>
            </v:shape>
            <w10:wrap anchorx="page"/>
          </v:group>
        </w:pict>
      </w:r>
      <w:r>
        <w:rPr>
          <w:color w:val="1E487C"/>
        </w:rPr>
        <w:t>Issue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#:</w:t>
      </w:r>
      <w:r>
        <w:rPr>
          <w:color w:val="1E487C"/>
          <w:spacing w:val="-1"/>
        </w:rPr>
        <w:t xml:space="preserve"> </w:t>
      </w:r>
      <w:r>
        <w:t>IS-001402</w:t>
      </w:r>
    </w:p>
    <w:p w14:paraId="030A01A1" w14:textId="4B0CC820" w:rsidR="001F1010" w:rsidRDefault="00000000">
      <w:pPr>
        <w:pStyle w:val="BodyText"/>
        <w:spacing w:line="280" w:lineRule="auto"/>
        <w:ind w:left="170" w:right="168" w:hanging="10"/>
      </w:pPr>
      <w:proofErr w:type="spellStart"/>
      <w:r>
        <w:rPr>
          <w:color w:val="1E487C"/>
        </w:rPr>
        <w:t>Issue</w:t>
      </w:r>
      <w:proofErr w:type="spellEnd"/>
      <w:r>
        <w:rPr>
          <w:color w:val="1E487C"/>
        </w:rPr>
        <w:t xml:space="preserve"> Name: </w:t>
      </w:r>
      <w:r>
        <w:t>Two Excel tools used by the Retirement Strategy Controllers team for performing monthly and</w:t>
      </w:r>
      <w:r>
        <w:rPr>
          <w:spacing w:val="1"/>
        </w:rPr>
        <w:t xml:space="preserve"> </w:t>
      </w:r>
      <w:r>
        <w:t>quarterly reinsurance settlement activities between ABC Company Insurance Company of America (PICA) and</w:t>
      </w:r>
      <w:r>
        <w:rPr>
          <w:spacing w:val="1"/>
        </w:rPr>
        <w:t xml:space="preserve"> </w:t>
      </w:r>
      <w:r w:rsidR="00635C6B">
        <w:t>Prisma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Reinsurance,</w:t>
      </w:r>
      <w:r>
        <w:rPr>
          <w:spacing w:val="-1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(</w:t>
      </w:r>
      <w:r w:rsidR="00635C6B">
        <w:t>Prisma</w:t>
      </w:r>
      <w:r>
        <w:rPr>
          <w:spacing w:val="-1"/>
        </w:rPr>
        <w:t xml:space="preserve"> </w:t>
      </w:r>
      <w:r>
        <w:t>Re)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inventoried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Solutions</w:t>
      </w:r>
    </w:p>
    <w:p w14:paraId="31ED2534" w14:textId="77777777" w:rsidR="001F1010" w:rsidRDefault="00000000">
      <w:pPr>
        <w:pStyle w:val="BodyText"/>
        <w:spacing w:before="3" w:line="202" w:lineRule="exact"/>
        <w:ind w:left="170"/>
      </w:pPr>
      <w:r>
        <w:t>(EUCS).</w:t>
      </w:r>
    </w:p>
    <w:p w14:paraId="71B8F9B5" w14:textId="77777777" w:rsidR="001F1010" w:rsidRDefault="00000000">
      <w:pPr>
        <w:pStyle w:val="BodyText"/>
        <w:spacing w:line="202" w:lineRule="exact"/>
        <w:ind w:left="161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60507FFA" w14:textId="2CEB2ABD" w:rsidR="001F1010" w:rsidRDefault="00000000">
      <w:pPr>
        <w:pStyle w:val="BodyText"/>
        <w:ind w:left="166" w:right="141" w:hanging="11"/>
      </w:pPr>
      <w:r>
        <w:t xml:space="preserve">Per the reinsurance agreement between PICA and </w:t>
      </w:r>
      <w:r w:rsidR="00635C6B">
        <w:t>Prisma</w:t>
      </w:r>
      <w:r>
        <w:t xml:space="preserve"> Re, the Retirement Strategy Controllers team provides</w:t>
      </w:r>
      <w:r>
        <w:rPr>
          <w:spacing w:val="1"/>
        </w:rPr>
        <w:t xml:space="preserve"> </w:t>
      </w:r>
      <w:r>
        <w:t xml:space="preserve">monthly settlement reports to </w:t>
      </w:r>
      <w:r w:rsidR="00635C6B">
        <w:t>Prisma</w:t>
      </w:r>
      <w:r>
        <w:t xml:space="preserve"> Re, which include monthly cashflows, funds withheld settlement and</w:t>
      </w:r>
      <w:r>
        <w:rPr>
          <w:spacing w:val="1"/>
        </w:rPr>
        <w:t xml:space="preserve"> </w:t>
      </w:r>
      <w:r>
        <w:t>coinsurance settlement. Additionally, a quarterly settlement report is provided to determine collateral requirements</w:t>
      </w:r>
      <w:r>
        <w:rPr>
          <w:spacing w:val="1"/>
        </w:rPr>
        <w:t xml:space="preserve"> </w:t>
      </w:r>
      <w:r>
        <w:t>and cash movement between the Funds Withheld, Coinsurance and Trust accounts. Internal Audit’s (IA) review of</w:t>
      </w:r>
      <w:r>
        <w:rPr>
          <w:spacing w:val="1"/>
        </w:rPr>
        <w:t xml:space="preserve"> </w:t>
      </w:r>
      <w:r>
        <w:t xml:space="preserve">the </w:t>
      </w:r>
      <w:r w:rsidR="00635C6B">
        <w:t>Prisma</w:t>
      </w:r>
      <w:r>
        <w:t xml:space="preserve"> Re settlement process identified that the Excel files used to provide the monthly and quarterly settlement</w:t>
      </w:r>
      <w:r>
        <w:rPr>
          <w:spacing w:val="-53"/>
        </w:rPr>
        <w:t xml:space="preserve"> </w:t>
      </w:r>
      <w:r>
        <w:t>results were not identified and inventoried as EUCS and were not risk assessed to ensure the appropriate EUCS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applied.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coded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 when this should be updated. Additionally, the Standard Operating Procedure (SOP) did not describe the review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 is performed by the team for these settlements.</w:t>
      </w:r>
    </w:p>
    <w:p w14:paraId="0B4A70F7" w14:textId="77777777" w:rsidR="001F1010" w:rsidRDefault="001F1010">
      <w:pPr>
        <w:pStyle w:val="BodyText"/>
        <w:spacing w:before="1"/>
      </w:pPr>
    </w:p>
    <w:p w14:paraId="41DC70B9" w14:textId="77777777" w:rsidR="001F1010" w:rsidRDefault="00000000">
      <w:pPr>
        <w:pStyle w:val="BodyText"/>
        <w:spacing w:line="252" w:lineRule="exact"/>
        <w:ind w:left="155"/>
      </w:pPr>
      <w:r>
        <w:rPr>
          <w:color w:val="1E487C"/>
        </w:rPr>
        <w:t>Root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Cause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Explanation:</w:t>
      </w:r>
    </w:p>
    <w:p w14:paraId="40DD3D80" w14:textId="4EDE2F30" w:rsidR="001F1010" w:rsidRDefault="00000000">
      <w:pPr>
        <w:pStyle w:val="BodyText"/>
        <w:ind w:left="166" w:right="300" w:hanging="11"/>
      </w:pP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attributed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quarterly settlement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635C6B">
        <w:t>Prisma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new and there was a lack of an understanding that the Excel tools created to perform this process fall under the</w:t>
      </w:r>
      <w:r>
        <w:rPr>
          <w:spacing w:val="1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EUCS.</w:t>
      </w:r>
    </w:p>
    <w:p w14:paraId="028D3E9B" w14:textId="77777777" w:rsidR="001F1010" w:rsidRDefault="001F1010">
      <w:pPr>
        <w:pStyle w:val="BodyText"/>
      </w:pPr>
    </w:p>
    <w:p w14:paraId="7FA77162" w14:textId="77777777" w:rsidR="001F1010" w:rsidRDefault="00000000">
      <w:pPr>
        <w:pStyle w:val="BodyText"/>
        <w:spacing w:line="252" w:lineRule="exact"/>
        <w:ind w:left="155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55B5BBD5" w14:textId="723B4F0C" w:rsidR="001F1010" w:rsidRDefault="00000000">
      <w:pPr>
        <w:pStyle w:val="BodyText"/>
        <w:ind w:left="166" w:right="135" w:hanging="11"/>
      </w:pPr>
      <w:r>
        <w:t>The lack of conformance with enterprise EUCS policies increases the risk that the tools could be vulnerable to the</w:t>
      </w:r>
      <w:r>
        <w:rPr>
          <w:spacing w:val="1"/>
        </w:rPr>
        <w:t xml:space="preserve"> </w:t>
      </w:r>
      <w:r>
        <w:t xml:space="preserve">impact of unmonitored changes and errors that may not be </w:t>
      </w:r>
      <w:proofErr w:type="gramStart"/>
      <w:r>
        <w:t>detected .</w:t>
      </w:r>
      <w:proofErr w:type="gramEnd"/>
      <w:r>
        <w:t xml:space="preserve"> These settlement reports, which are required</w:t>
      </w:r>
      <w:r>
        <w:rPr>
          <w:spacing w:val="1"/>
        </w:rPr>
        <w:t xml:space="preserve"> </w:t>
      </w:r>
      <w:r>
        <w:t xml:space="preserve">per the reinsurance agreement with </w:t>
      </w:r>
      <w:r w:rsidR="00635C6B">
        <w:t>Prisma</w:t>
      </w:r>
      <w:r>
        <w:t xml:space="preserve"> Re, are manually prepared and rely on numerous linked Excel files and</w:t>
      </w:r>
      <w:r>
        <w:rPr>
          <w:spacing w:val="1"/>
        </w:rPr>
        <w:t xml:space="preserve"> </w:t>
      </w:r>
      <w:r>
        <w:t>source inputs and/or handoffs. Errors or inaccurate information due to missing EUCS controls may lead to financial</w:t>
      </w:r>
      <w:r>
        <w:rPr>
          <w:spacing w:val="1"/>
        </w:rPr>
        <w:t xml:space="preserve"> </w:t>
      </w:r>
      <w:r>
        <w:t>reporting errors. The risk is partially mitigated by review controls performed by Retirement Strategy Controllers of</w:t>
      </w:r>
      <w:r>
        <w:rPr>
          <w:spacing w:val="1"/>
        </w:rPr>
        <w:t xml:space="preserve"> </w:t>
      </w:r>
      <w:r>
        <w:t>the settlement results. In addition, IA did not find any data integrity errors in the EUCS calculations. Thus, this issue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rated Low.</w:t>
      </w:r>
    </w:p>
    <w:p w14:paraId="37F3B545" w14:textId="77777777" w:rsidR="001F1010" w:rsidRDefault="001F1010">
      <w:pPr>
        <w:pStyle w:val="BodyText"/>
      </w:pPr>
    </w:p>
    <w:p w14:paraId="1B7DD835" w14:textId="77777777" w:rsidR="001F1010" w:rsidRDefault="00000000">
      <w:pPr>
        <w:pStyle w:val="BodyText"/>
        <w:ind w:left="155"/>
      </w:pPr>
      <w:r>
        <w:rPr>
          <w:color w:val="1E487C"/>
        </w:rPr>
        <w:t>Audit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-2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45DC2F50" w14:textId="77777777" w:rsidR="001F1010" w:rsidRDefault="001F1010">
      <w:pPr>
        <w:pStyle w:val="BodyText"/>
        <w:spacing w:before="1"/>
      </w:pPr>
    </w:p>
    <w:p w14:paraId="2B0FE389" w14:textId="77777777" w:rsidR="001F1010" w:rsidRDefault="00000000">
      <w:pPr>
        <w:pStyle w:val="BodyText"/>
        <w:tabs>
          <w:tab w:val="left" w:pos="5511"/>
        </w:tabs>
        <w:ind w:left="155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1B98BF96" w14:textId="77777777" w:rsidR="001F1010" w:rsidRDefault="00000000">
      <w:pPr>
        <w:pStyle w:val="BodyText"/>
        <w:tabs>
          <w:tab w:val="left" w:pos="3215"/>
        </w:tabs>
        <w:spacing w:before="53" w:line="506" w:lineRule="exact"/>
        <w:ind w:left="155" w:right="4691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 xml:space="preserve">Issue Target Date: </w:t>
      </w:r>
      <w:r>
        <w:t>04/30/2024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Corporate Groups</w:t>
      </w:r>
    </w:p>
    <w:p w14:paraId="4DFA958A" w14:textId="77777777" w:rsidR="001F1010" w:rsidRDefault="00000000">
      <w:pPr>
        <w:pStyle w:val="BodyText"/>
        <w:spacing w:line="199" w:lineRule="exact"/>
        <w:ind w:left="155"/>
      </w:pPr>
      <w:r>
        <w:rPr>
          <w:color w:val="1E487C"/>
        </w:rPr>
        <w:t>Business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Group:</w:t>
      </w:r>
      <w:r>
        <w:rPr>
          <w:color w:val="1E487C"/>
          <w:spacing w:val="-1"/>
        </w:rPr>
        <w:t xml:space="preserve"> </w:t>
      </w:r>
      <w:r>
        <w:t>FM-Global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Community</w:t>
      </w:r>
    </w:p>
    <w:p w14:paraId="2147A3E1" w14:textId="77777777" w:rsidR="001F1010" w:rsidRDefault="00000000">
      <w:pPr>
        <w:pStyle w:val="BodyText"/>
        <w:spacing w:line="252" w:lineRule="exact"/>
        <w:ind w:left="155"/>
      </w:pPr>
      <w:r>
        <w:rPr>
          <w:color w:val="1E487C"/>
        </w:rPr>
        <w:t>Reportable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 xml:space="preserve">Segment: </w:t>
      </w:r>
      <w:r>
        <w:t>FM-Business</w:t>
      </w:r>
      <w:r>
        <w:rPr>
          <w:spacing w:val="-2"/>
        </w:rPr>
        <w:t xml:space="preserve"> </w:t>
      </w:r>
      <w:r>
        <w:t>Controllers</w:t>
      </w:r>
      <w:r>
        <w:rPr>
          <w:spacing w:val="-1"/>
        </w:rPr>
        <w:t xml:space="preserve"> </w:t>
      </w:r>
      <w:proofErr w:type="spellStart"/>
      <w:r>
        <w:t>CoE</w:t>
      </w:r>
      <w:proofErr w:type="spellEnd"/>
    </w:p>
    <w:p w14:paraId="5466B2EC" w14:textId="77777777" w:rsidR="001F1010" w:rsidRDefault="001F1010">
      <w:pPr>
        <w:spacing w:line="252" w:lineRule="exact"/>
        <w:sectPr w:rsidR="001F1010">
          <w:pgSz w:w="12240" w:h="15840"/>
          <w:pgMar w:top="1740" w:right="920" w:bottom="1620" w:left="740" w:header="720" w:footer="1424" w:gutter="0"/>
          <w:cols w:space="720"/>
        </w:sectPr>
      </w:pPr>
    </w:p>
    <w:p w14:paraId="02EAECD1" w14:textId="77777777" w:rsidR="001F1010" w:rsidRDefault="001F1010">
      <w:pPr>
        <w:pStyle w:val="BodyText"/>
        <w:rPr>
          <w:sz w:val="20"/>
        </w:rPr>
      </w:pPr>
    </w:p>
    <w:p w14:paraId="098BC2AE" w14:textId="77777777" w:rsidR="001F1010" w:rsidRDefault="001F1010">
      <w:pPr>
        <w:pStyle w:val="BodyText"/>
        <w:spacing w:before="6"/>
        <w:rPr>
          <w:sz w:val="28"/>
        </w:rPr>
      </w:pPr>
    </w:p>
    <w:p w14:paraId="51B83BE5" w14:textId="77777777" w:rsidR="001F1010" w:rsidRDefault="00000000">
      <w:pPr>
        <w:pStyle w:val="BodyText"/>
        <w:ind w:left="188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253A95FE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width:483pt;height:102.7pt;mso-left-percent:-10001;mso-top-percent:-10001;mso-position-horizontal:absolute;mso-position-horizontal-relative:char;mso-position-vertical:absolute;mso-position-vertical-relative:line;mso-left-percent:-10001;mso-top-percent:-10001" fillcolor="#e0e9f4" strokecolor="#375c8a" strokeweight="1.5pt">
            <v:textbox inset="0,0,0,0">
              <w:txbxContent>
                <w:p w14:paraId="4ECC74C8" w14:textId="77777777" w:rsidR="001F1010" w:rsidRDefault="00000000">
                  <w:pPr>
                    <w:pStyle w:val="BodyText"/>
                    <w:spacing w:line="252" w:lineRule="exact"/>
                    <w:ind w:left="-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AC-001378</w:t>
                  </w:r>
                </w:p>
                <w:p w14:paraId="14A90AE1" w14:textId="77777777" w:rsidR="001F1010" w:rsidRDefault="00000000">
                  <w:pPr>
                    <w:pStyle w:val="BodyText"/>
                    <w:ind w:left="-1" w:right="25"/>
                  </w:pPr>
                  <w:r>
                    <w:rPr>
                      <w:color w:val="1E487C"/>
                    </w:rPr>
                    <w:t xml:space="preserve">Action Plan Description: </w:t>
                  </w:r>
                  <w:r>
                    <w:t>The Retirement Strategies Controllers – Reinsurance Team will add the relevant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EUCS files to the inventory and perform a thorough review of the team’s EUCS inventory, ensuring relevant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controls are applied. We will share the newly created EUCS with the team, ensuring the inventory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all requirements are captured.</w:t>
                  </w:r>
                </w:p>
                <w:p w14:paraId="341314A2" w14:textId="77777777" w:rsidR="001F1010" w:rsidRDefault="001F1010">
                  <w:pPr>
                    <w:pStyle w:val="BodyText"/>
                  </w:pPr>
                </w:p>
                <w:p w14:paraId="5B0B5BD9" w14:textId="77777777" w:rsidR="001F1010" w:rsidRDefault="00000000">
                  <w:pPr>
                    <w:pStyle w:val="BodyText"/>
                    <w:ind w:left="-1" w:right="28"/>
                  </w:pPr>
                  <w:r>
                    <w:t>Additionally, the SOP will be updated to describe the review process performed by the team and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description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 when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 changed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file.</w:t>
                  </w:r>
                </w:p>
              </w:txbxContent>
            </v:textbox>
            <w10:anchorlock/>
          </v:shape>
        </w:pict>
      </w:r>
    </w:p>
    <w:p w14:paraId="23DE90E2" w14:textId="77777777" w:rsidR="001F1010" w:rsidRDefault="001F1010">
      <w:pPr>
        <w:pStyle w:val="BodyText"/>
        <w:spacing w:before="4"/>
        <w:rPr>
          <w:sz w:val="21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4158"/>
        <w:gridCol w:w="2514"/>
      </w:tblGrid>
      <w:tr w:rsidR="001F1010" w14:paraId="0351EB38" w14:textId="77777777">
        <w:trPr>
          <w:trHeight w:val="248"/>
        </w:trPr>
        <w:tc>
          <w:tcPr>
            <w:tcW w:w="2258" w:type="dxa"/>
          </w:tcPr>
          <w:p w14:paraId="2C68EA58" w14:textId="77777777" w:rsidR="001F101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58" w:type="dxa"/>
          </w:tcPr>
          <w:p w14:paraId="4FF30D4E" w14:textId="77777777" w:rsidR="001F1010" w:rsidRDefault="00000000">
            <w:pPr>
              <w:pStyle w:val="TableParagraph"/>
              <w:ind w:left="448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14" w:type="dxa"/>
          </w:tcPr>
          <w:p w14:paraId="3A525349" w14:textId="77777777" w:rsidR="001F1010" w:rsidRDefault="00000000">
            <w:pPr>
              <w:pStyle w:val="TableParagraph"/>
              <w:ind w:left="765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1F1010" w14:paraId="2BC3DAEC" w14:textId="77777777">
        <w:trPr>
          <w:trHeight w:val="248"/>
        </w:trPr>
        <w:tc>
          <w:tcPr>
            <w:tcW w:w="2258" w:type="dxa"/>
          </w:tcPr>
          <w:p w14:paraId="78B972B2" w14:textId="77777777" w:rsidR="001F1010" w:rsidRDefault="00000000">
            <w:pPr>
              <w:pStyle w:val="TableParagraph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Kutyla</w:t>
            </w:r>
          </w:p>
        </w:tc>
        <w:tc>
          <w:tcPr>
            <w:tcW w:w="4158" w:type="dxa"/>
          </w:tcPr>
          <w:p w14:paraId="7D720F13" w14:textId="77777777" w:rsidR="001F1010" w:rsidRDefault="00000000">
            <w:pPr>
              <w:pStyle w:val="TableParagraph"/>
              <w:ind w:left="449"/>
            </w:pPr>
            <w:r>
              <w:t>03/31/2024</w:t>
            </w:r>
          </w:p>
        </w:tc>
        <w:tc>
          <w:tcPr>
            <w:tcW w:w="2514" w:type="dxa"/>
          </w:tcPr>
          <w:p w14:paraId="1BB938C7" w14:textId="77777777" w:rsidR="001F1010" w:rsidRDefault="00000000">
            <w:pPr>
              <w:pStyle w:val="TableParagraph"/>
              <w:ind w:left="764"/>
            </w:pPr>
            <w:r>
              <w:t>Open</w:t>
            </w:r>
          </w:p>
        </w:tc>
      </w:tr>
    </w:tbl>
    <w:p w14:paraId="13B26528" w14:textId="77777777" w:rsidR="001F1010" w:rsidRDefault="001F1010">
      <w:pPr>
        <w:sectPr w:rsidR="001F1010">
          <w:pgSz w:w="12240" w:h="15840"/>
          <w:pgMar w:top="1740" w:right="920" w:bottom="1620" w:left="740" w:header="720" w:footer="1424" w:gutter="0"/>
          <w:cols w:space="720"/>
        </w:sectPr>
      </w:pPr>
    </w:p>
    <w:p w14:paraId="3DDF65B4" w14:textId="77777777" w:rsidR="001F1010" w:rsidRDefault="001F1010">
      <w:pPr>
        <w:pStyle w:val="BodyText"/>
        <w:rPr>
          <w:sz w:val="20"/>
        </w:rPr>
      </w:pPr>
    </w:p>
    <w:p w14:paraId="3E4D90BE" w14:textId="77777777" w:rsidR="001F1010" w:rsidRDefault="001F1010">
      <w:pPr>
        <w:pStyle w:val="BodyText"/>
        <w:rPr>
          <w:sz w:val="21"/>
        </w:rPr>
      </w:pPr>
    </w:p>
    <w:p w14:paraId="40B6A782" w14:textId="77777777" w:rsidR="001F1010" w:rsidRDefault="00000000">
      <w:pPr>
        <w:pStyle w:val="BodyText"/>
        <w:ind w:left="294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2F9CFC9B">
          <v:shape id="_x0000_s2052" type="#_x0000_t202" style="width:507.8pt;height:52.15pt;mso-left-percent:-10001;mso-top-percent:-10001;mso-position-horizontal:absolute;mso-position-horizontal-relative:char;mso-position-vertical:absolute;mso-position-vertical-relative:line;mso-left-percent:-10001;mso-top-percent:-10001" fillcolor="#95b3d7" strokecolor="#375c8a" strokeweight="1.5pt">
            <v:textbox inset="0,0,0,0">
              <w:txbxContent>
                <w:p w14:paraId="7BB779BF" w14:textId="77777777" w:rsidR="001F1010" w:rsidRDefault="00000000">
                  <w:pPr>
                    <w:pStyle w:val="BodyText"/>
                    <w:ind w:left="30"/>
                  </w:pPr>
                  <w:r>
                    <w:rPr>
                      <w:color w:val="1E487C"/>
                    </w:rPr>
                    <w:t>Issue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#: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IS-001363</w:t>
                  </w:r>
                </w:p>
                <w:p w14:paraId="48C68321" w14:textId="457228CF" w:rsidR="001F1010" w:rsidRDefault="00000000">
                  <w:pPr>
                    <w:pStyle w:val="BodyText"/>
                    <w:ind w:left="39" w:right="523" w:hanging="10"/>
                  </w:pPr>
                  <w:proofErr w:type="spellStart"/>
                  <w:r>
                    <w:rPr>
                      <w:color w:val="1E487C"/>
                    </w:rPr>
                    <w:t>Issue</w:t>
                  </w:r>
                  <w:proofErr w:type="spellEnd"/>
                  <w:r>
                    <w:rPr>
                      <w:color w:val="1E487C"/>
                    </w:rPr>
                    <w:t xml:space="preserve"> Name: </w:t>
                  </w:r>
                  <w:r>
                    <w:t xml:space="preserve">Lack of secondary/peer review for the invested asset data provided to </w:t>
                  </w:r>
                  <w:r w:rsidR="000764BD">
                    <w:t>Prisma</w:t>
                  </w:r>
                  <w:r>
                    <w:t xml:space="preserve"> by the PGIM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Operations and Innovations (PGIM O&amp;I) team for </w:t>
                  </w:r>
                  <w:r w:rsidR="000764BD">
                    <w:t>Prisma</w:t>
                  </w:r>
                  <w:r>
                    <w:t xml:space="preserve"> Bermuda Solvency Capital Requirement (BSCR)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investment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accounting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balances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 their trial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balance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financial statements.</w:t>
                  </w:r>
                </w:p>
              </w:txbxContent>
            </v:textbox>
            <w10:anchorlock/>
          </v:shape>
        </w:pict>
      </w:r>
    </w:p>
    <w:p w14:paraId="3A4501F1" w14:textId="77777777" w:rsidR="001F1010" w:rsidRDefault="001F1010">
      <w:pPr>
        <w:pStyle w:val="BodyText"/>
        <w:spacing w:before="1"/>
        <w:rPr>
          <w:sz w:val="12"/>
        </w:rPr>
      </w:pPr>
    </w:p>
    <w:p w14:paraId="04683A9E" w14:textId="77777777" w:rsidR="001F1010" w:rsidRDefault="00000000">
      <w:pPr>
        <w:pStyle w:val="BodyText"/>
        <w:spacing w:before="90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2D9D7E7D" w14:textId="1EB3287A" w:rsidR="001F1010" w:rsidRDefault="00000000">
      <w:pPr>
        <w:pStyle w:val="BodyText"/>
        <w:spacing w:before="1"/>
        <w:ind w:left="335" w:right="252" w:hanging="11"/>
      </w:pPr>
      <w:r>
        <w:t xml:space="preserve">Under the terms of a service agreement with </w:t>
      </w:r>
      <w:r w:rsidR="00635C6B">
        <w:t>Prisma</w:t>
      </w:r>
      <w:r>
        <w:t>, on a quarterly basis, the Securities Regulatory Reporting</w:t>
      </w:r>
      <w:r>
        <w:rPr>
          <w:spacing w:val="1"/>
        </w:rPr>
        <w:t xml:space="preserve"> </w:t>
      </w:r>
      <w:r>
        <w:t xml:space="preserve">unit within the PGIM O&amp;I team is responsible for providing invested asset data to </w:t>
      </w:r>
      <w:r w:rsidR="00635C6B">
        <w:t>Prisma</w:t>
      </w:r>
      <w:r>
        <w:t xml:space="preserve"> for BSCR reporting to</w:t>
      </w:r>
      <w:r>
        <w:rPr>
          <w:spacing w:val="-53"/>
        </w:rPr>
        <w:t xml:space="preserve"> </w:t>
      </w:r>
      <w:r>
        <w:t>comply with the Bermuda Monetary Authority (BMA) disclosure requirements. This includes the assets held</w:t>
      </w:r>
      <w:r>
        <w:rPr>
          <w:spacing w:val="1"/>
        </w:rPr>
        <w:t xml:space="preserve"> </w:t>
      </w:r>
      <w:r>
        <w:t xml:space="preserve">within the PICA Funds Withheld (FWH) account as well as in the trust account within </w:t>
      </w:r>
      <w:r w:rsidR="00635C6B">
        <w:t>Prisma</w:t>
      </w:r>
      <w:r>
        <w:t>. Additionally,</w:t>
      </w:r>
      <w:r>
        <w:rPr>
          <w:spacing w:val="1"/>
        </w:rPr>
        <w:t xml:space="preserve"> </w:t>
      </w:r>
      <w:r>
        <w:t xml:space="preserve">PGIM O&amp;I is responsible for sending the investment accounting balances to support </w:t>
      </w:r>
      <w:r w:rsidR="00635C6B">
        <w:t>Prisma</w:t>
      </w:r>
      <w:r>
        <w:t>’s trial balance and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statements.</w:t>
      </w:r>
    </w:p>
    <w:p w14:paraId="0E0A5901" w14:textId="77777777" w:rsidR="001F1010" w:rsidRDefault="001F1010">
      <w:pPr>
        <w:pStyle w:val="BodyText"/>
      </w:pPr>
    </w:p>
    <w:p w14:paraId="3E053BCD" w14:textId="77777777" w:rsidR="001F1010" w:rsidRDefault="00000000">
      <w:pPr>
        <w:pStyle w:val="BodyText"/>
        <w:ind w:left="335" w:right="168" w:hanging="11"/>
      </w:pPr>
      <w:r>
        <w:t>The invested assets information is provided by populating individual schedules in the BMA prescribed BSCR</w:t>
      </w:r>
      <w:r>
        <w:rPr>
          <w:spacing w:val="1"/>
        </w:rPr>
        <w:t xml:space="preserve"> </w:t>
      </w:r>
      <w:r>
        <w:t>template. The process includes data aggregation for bonds, stocks, derivatives, other invested assets (OIA), and</w:t>
      </w:r>
      <w:r>
        <w:rPr>
          <w:spacing w:val="1"/>
        </w:rPr>
        <w:t xml:space="preserve"> </w:t>
      </w:r>
      <w:r>
        <w:t>mortgage</w:t>
      </w:r>
      <w:r>
        <w:rPr>
          <w:spacing w:val="-1"/>
        </w:rPr>
        <w:t xml:space="preserve"> </w:t>
      </w:r>
      <w:r>
        <w:t>loans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BSCR</w:t>
      </w:r>
      <w:r>
        <w:rPr>
          <w:spacing w:val="-1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BMA</w:t>
      </w:r>
      <w:r>
        <w:rPr>
          <w:spacing w:val="-1"/>
        </w:rPr>
        <w:t xml:space="preserve"> </w:t>
      </w:r>
      <w:r>
        <w:t>instructions.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Audit’s</w:t>
      </w:r>
      <w:r>
        <w:rPr>
          <w:spacing w:val="-1"/>
        </w:rPr>
        <w:t xml:space="preserve"> </w:t>
      </w:r>
      <w:r>
        <w:t>(IA’s)</w:t>
      </w:r>
      <w:r>
        <w:rPr>
          <w:spacing w:val="-52"/>
        </w:rPr>
        <w:t xml:space="preserve"> </w:t>
      </w:r>
      <w:r>
        <w:t>review of the process for aggregating and assigning BSCR ratings for bonds, stocks, and OIA identified that the</w:t>
      </w:r>
      <w:r>
        <w:rPr>
          <w:spacing w:val="1"/>
        </w:rPr>
        <w:t xml:space="preserve"> </w:t>
      </w:r>
      <w:r>
        <w:t>relevant schedules and spreadsheets for assigning BSCR ratings are prepared by one individual from each team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 secondary/peer</w:t>
      </w:r>
      <w:r>
        <w:rPr>
          <w:spacing w:val="-1"/>
        </w:rPr>
        <w:t xml:space="preserve"> </w:t>
      </w:r>
      <w:r>
        <w:t>review is</w:t>
      </w:r>
      <w:r>
        <w:rPr>
          <w:spacing w:val="-1"/>
        </w:rPr>
        <w:t xml:space="preserve"> </w:t>
      </w:r>
      <w:r>
        <w:t>performed 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completeness of</w:t>
      </w:r>
      <w:r>
        <w:rPr>
          <w:spacing w:val="-1"/>
        </w:rPr>
        <w:t xml:space="preserve"> </w:t>
      </w:r>
      <w:r>
        <w:t>the information.</w:t>
      </w:r>
    </w:p>
    <w:p w14:paraId="69D40967" w14:textId="77777777" w:rsidR="001F1010" w:rsidRDefault="00000000">
      <w:pPr>
        <w:pStyle w:val="BodyText"/>
        <w:ind w:left="335" w:right="269"/>
      </w:pPr>
      <w:r>
        <w:t>Additionally, our review identified that a municipal bond was assigned the incorrect BSCR rating. The impact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nominal,</w:t>
      </w:r>
      <w:r>
        <w:rPr>
          <w:spacing w:val="-1"/>
        </w:rPr>
        <w:t xml:space="preserve"> </w:t>
      </w:r>
      <w:r>
        <w:t>0.21%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understatement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BSCR</w:t>
      </w:r>
      <w:r>
        <w:rPr>
          <w:spacing w:val="-1"/>
        </w:rPr>
        <w:t xml:space="preserve"> </w:t>
      </w:r>
      <w:r>
        <w:t>by</w:t>
      </w:r>
    </w:p>
    <w:p w14:paraId="06799DC5" w14:textId="77777777" w:rsidR="001F1010" w:rsidRDefault="00000000">
      <w:pPr>
        <w:pStyle w:val="BodyText"/>
        <w:spacing w:line="252" w:lineRule="exact"/>
        <w:ind w:left="335"/>
      </w:pPr>
      <w:r>
        <w:t>$45k.</w:t>
      </w:r>
    </w:p>
    <w:p w14:paraId="02A650E2" w14:textId="77777777" w:rsidR="001F1010" w:rsidRDefault="001F1010">
      <w:pPr>
        <w:pStyle w:val="BodyText"/>
      </w:pPr>
    </w:p>
    <w:p w14:paraId="41799810" w14:textId="544B7EC9" w:rsidR="001F1010" w:rsidRDefault="00000000">
      <w:pPr>
        <w:pStyle w:val="BodyText"/>
        <w:ind w:left="335" w:right="168" w:hanging="11"/>
      </w:pPr>
      <w:r>
        <w:t>On a monthly basis, PGIM investment reporting sends investment accounting balances from Oracle ledger to</w:t>
      </w:r>
      <w:r>
        <w:rPr>
          <w:spacing w:val="1"/>
        </w:rPr>
        <w:t xml:space="preserve"> </w:t>
      </w:r>
      <w:r w:rsidR="00635C6B">
        <w:t>Prisma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Marsh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Intralinks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trial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statements.</w:t>
      </w:r>
      <w:r>
        <w:rPr>
          <w:spacing w:val="-1"/>
        </w:rPr>
        <w:t xml:space="preserve"> </w:t>
      </w:r>
      <w:r>
        <w:t>IA’s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process identified that a secondary review process for sending this investment accounting data is also not in</w:t>
      </w:r>
      <w:r>
        <w:rPr>
          <w:spacing w:val="1"/>
        </w:rPr>
        <w:t xml:space="preserve"> </w:t>
      </w:r>
      <w:r>
        <w:t>place; however, it should be noted that no errors were identified by IA in the investment accounting provided to</w:t>
      </w:r>
      <w:r>
        <w:rPr>
          <w:spacing w:val="1"/>
        </w:rPr>
        <w:t xml:space="preserve"> </w:t>
      </w:r>
      <w:r w:rsidR="00635C6B">
        <w:t>Prisma</w:t>
      </w:r>
      <w:r>
        <w:rPr>
          <w:spacing w:val="-1"/>
        </w:rPr>
        <w:t xml:space="preserve"> </w:t>
      </w:r>
      <w:r>
        <w:t>in our scope period.</w:t>
      </w:r>
    </w:p>
    <w:p w14:paraId="70CB6CDD" w14:textId="77777777" w:rsidR="001F1010" w:rsidRDefault="001F1010">
      <w:pPr>
        <w:pStyle w:val="BodyText"/>
      </w:pPr>
    </w:p>
    <w:p w14:paraId="471C3CF7" w14:textId="77777777" w:rsidR="001F1010" w:rsidRDefault="00000000">
      <w:pPr>
        <w:pStyle w:val="BodyText"/>
        <w:spacing w:before="1"/>
        <w:ind w:left="324"/>
      </w:pPr>
      <w:r>
        <w:rPr>
          <w:color w:val="1E487C"/>
        </w:rPr>
        <w:t>Root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Cause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Explanation:</w:t>
      </w:r>
    </w:p>
    <w:p w14:paraId="215BB21D" w14:textId="4B020BC5" w:rsidR="001F1010" w:rsidRDefault="00000000">
      <w:pPr>
        <w:pStyle w:val="BodyText"/>
        <w:ind w:left="335" w:right="168" w:hanging="11"/>
      </w:pPr>
      <w:r>
        <w:t xml:space="preserve">The root cause can be attributed to the fact that 3Q23 was the first time the data was provided for the </w:t>
      </w:r>
      <w:r w:rsidR="00635C6B">
        <w:t>Prisma</w:t>
      </w:r>
      <w:r>
        <w:rPr>
          <w:spacing w:val="1"/>
        </w:rPr>
        <w:t xml:space="preserve"> </w:t>
      </w:r>
      <w:r>
        <w:t>BSCR template and trial balance, and primary focus was on execution of the processes instead of establishment of</w:t>
      </w:r>
      <w:r>
        <w:rPr>
          <w:spacing w:val="-52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processes.</w:t>
      </w:r>
    </w:p>
    <w:p w14:paraId="55CCC8F7" w14:textId="77777777" w:rsidR="001F1010" w:rsidRDefault="001F1010">
      <w:pPr>
        <w:pStyle w:val="BodyText"/>
        <w:spacing w:before="11"/>
        <w:rPr>
          <w:sz w:val="21"/>
        </w:rPr>
      </w:pPr>
    </w:p>
    <w:p w14:paraId="2C46A20B" w14:textId="77777777" w:rsidR="001F1010" w:rsidRDefault="00000000">
      <w:pPr>
        <w:pStyle w:val="BodyText"/>
        <w:ind w:left="324"/>
      </w:pPr>
      <w:r>
        <w:rPr>
          <w:color w:val="1F487B"/>
        </w:rPr>
        <w:t>Rating</w:t>
      </w:r>
      <w:r>
        <w:rPr>
          <w:color w:val="1F487B"/>
          <w:spacing w:val="-2"/>
        </w:rPr>
        <w:t xml:space="preserve"> </w:t>
      </w:r>
      <w:r>
        <w:rPr>
          <w:color w:val="1F487B"/>
        </w:rPr>
        <w:t>Rationale:</w:t>
      </w:r>
    </w:p>
    <w:p w14:paraId="2CC35292" w14:textId="05691823" w:rsidR="001F1010" w:rsidRDefault="00000000">
      <w:pPr>
        <w:pStyle w:val="BodyText"/>
        <w:ind w:left="335" w:right="145" w:hanging="11"/>
      </w:pPr>
      <w:r>
        <w:t>The lack of secondary review controls may limit the ability to detect errors before submitting information to</w:t>
      </w:r>
      <w:r>
        <w:rPr>
          <w:spacing w:val="1"/>
        </w:rPr>
        <w:t xml:space="preserve"> </w:t>
      </w:r>
      <w:r w:rsidR="00635C6B">
        <w:t>Prisma</w:t>
      </w:r>
      <w:r>
        <w:t xml:space="preserve"> under the terms of the accounting service agreement. As a result, </w:t>
      </w:r>
      <w:r w:rsidR="00635C6B">
        <w:t>Prisma</w:t>
      </w:r>
      <w:r>
        <w:t xml:space="preserve"> may rely on inaccurate</w:t>
      </w:r>
      <w:r>
        <w:rPr>
          <w:spacing w:val="1"/>
        </w:rPr>
        <w:t xml:space="preserve"> </w:t>
      </w:r>
      <w:r>
        <w:t>information to support Bermuda regulatory reporting or its own financial reporting. A secondary review would</w:t>
      </w:r>
      <w:r>
        <w:rPr>
          <w:spacing w:val="1"/>
        </w:rPr>
        <w:t xml:space="preserve"> </w:t>
      </w:r>
      <w:r>
        <w:t>help ensure the accuracy and completeness of the information for compliance with BMA requirements. Any errors</w:t>
      </w:r>
      <w:r>
        <w:rPr>
          <w:spacing w:val="-5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inaccurate</w:t>
      </w:r>
      <w:r>
        <w:rPr>
          <w:spacing w:val="-7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reputational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ABC</w:t>
      </w:r>
      <w:r>
        <w:rPr>
          <w:spacing w:val="-9"/>
        </w:rPr>
        <w:t xml:space="preserve"> </w:t>
      </w:r>
      <w:r>
        <w:t>Company.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partially</w:t>
      </w:r>
      <w:r>
        <w:rPr>
          <w:spacing w:val="-7"/>
        </w:rPr>
        <w:t xml:space="preserve"> </w:t>
      </w:r>
      <w:r>
        <w:t>mitigated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 the identified error was nominal and resulted in less than a 1% impact on the BSCR. There were no errors</w:t>
      </w:r>
      <w:r>
        <w:rPr>
          <w:spacing w:val="1"/>
        </w:rPr>
        <w:t xml:space="preserve"> </w:t>
      </w:r>
      <w:r>
        <w:t xml:space="preserve">identified in the investment accounting balances sent to </w:t>
      </w:r>
      <w:r w:rsidR="00635C6B">
        <w:t>Prisma</w:t>
      </w:r>
      <w:r>
        <w:t xml:space="preserve"> for the sampled month reviewed by IA.</w:t>
      </w:r>
      <w:r>
        <w:rPr>
          <w:spacing w:val="1"/>
        </w:rPr>
        <w:t xml:space="preserve"> </w:t>
      </w:r>
      <w:r>
        <w:t>Additionally, key individuals showed a good understanding of the processes. Thus, this observation is rated Low.</w:t>
      </w:r>
      <w:r>
        <w:rPr>
          <w:spacing w:val="1"/>
        </w:rPr>
        <w:t xml:space="preserve"> </w:t>
      </w:r>
      <w:r>
        <w:rPr>
          <w:color w:val="1F487B"/>
        </w:rPr>
        <w:t>Audit</w:t>
      </w:r>
      <w:r>
        <w:rPr>
          <w:color w:val="1F487B"/>
          <w:spacing w:val="-1"/>
        </w:rPr>
        <w:t xml:space="preserve"> </w:t>
      </w:r>
      <w:r>
        <w:rPr>
          <w:color w:val="1F487B"/>
        </w:rPr>
        <w:t>Risk Taxonomy Level 1:</w:t>
      </w:r>
      <w:r>
        <w:rPr>
          <w:color w:val="1F487B"/>
          <w:spacing w:val="-1"/>
        </w:rPr>
        <w:t xml:space="preserve"> </w:t>
      </w:r>
      <w:r>
        <w:t>Accounting and Financial Reporting</w:t>
      </w:r>
    </w:p>
    <w:p w14:paraId="5C4364F5" w14:textId="77777777" w:rsidR="001F1010" w:rsidRDefault="001F1010">
      <w:pPr>
        <w:pStyle w:val="BodyText"/>
        <w:spacing w:before="2"/>
        <w:rPr>
          <w:sz w:val="29"/>
        </w:rPr>
      </w:pPr>
    </w:p>
    <w:p w14:paraId="2084F481" w14:textId="77777777" w:rsidR="001F1010" w:rsidRDefault="00000000">
      <w:pPr>
        <w:spacing w:before="92" w:line="266" w:lineRule="auto"/>
        <w:ind w:left="655" w:right="168"/>
        <w:rPr>
          <w:sz w:val="18"/>
        </w:rPr>
      </w:pPr>
      <w:r>
        <w:rPr>
          <w:color w:val="1E487C"/>
          <w:sz w:val="18"/>
        </w:rPr>
        <w:t>This report is confidential and not to be distributed to anyone beyond the individuals indicated. Should copies of this report be</w:t>
      </w:r>
      <w:r>
        <w:rPr>
          <w:color w:val="1E487C"/>
          <w:spacing w:val="1"/>
          <w:sz w:val="18"/>
        </w:rPr>
        <w:t xml:space="preserve"> </w:t>
      </w:r>
      <w:r>
        <w:rPr>
          <w:color w:val="1E487C"/>
          <w:sz w:val="18"/>
        </w:rPr>
        <w:t>requested</w:t>
      </w:r>
      <w:r>
        <w:rPr>
          <w:color w:val="1E487C"/>
          <w:spacing w:val="-4"/>
          <w:sz w:val="18"/>
        </w:rPr>
        <w:t xml:space="preserve"> </w:t>
      </w:r>
      <w:r>
        <w:rPr>
          <w:color w:val="1E487C"/>
          <w:sz w:val="18"/>
        </w:rPr>
        <w:t>by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any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employee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of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ABC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Company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or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subsidiaries,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request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should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be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referred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to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Internal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Audit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Department.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All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re-</w:t>
      </w:r>
      <w:r>
        <w:rPr>
          <w:color w:val="1E487C"/>
          <w:spacing w:val="-42"/>
          <w:sz w:val="18"/>
        </w:rPr>
        <w:t xml:space="preserve"> </w:t>
      </w:r>
      <w:r>
        <w:rPr>
          <w:color w:val="1E487C"/>
          <w:sz w:val="18"/>
        </w:rPr>
        <w:t>quests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by external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parties, either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individual or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regulatory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entity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should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be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referred to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Law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Department.</w:t>
      </w:r>
    </w:p>
    <w:p w14:paraId="27A4C91D" w14:textId="77777777" w:rsidR="001F1010" w:rsidRDefault="001F1010">
      <w:pPr>
        <w:spacing w:line="266" w:lineRule="auto"/>
        <w:rPr>
          <w:sz w:val="18"/>
        </w:rPr>
        <w:sectPr w:rsidR="001F1010">
          <w:headerReference w:type="default" r:id="rId15"/>
          <w:footerReference w:type="default" r:id="rId16"/>
          <w:pgSz w:w="12240" w:h="15840"/>
          <w:pgMar w:top="2020" w:right="920" w:bottom="960" w:left="740" w:header="984" w:footer="769" w:gutter="0"/>
          <w:cols w:space="720"/>
        </w:sectPr>
      </w:pPr>
    </w:p>
    <w:p w14:paraId="77C4259D" w14:textId="77777777" w:rsidR="001F1010" w:rsidRDefault="001F1010">
      <w:pPr>
        <w:pStyle w:val="BodyText"/>
        <w:rPr>
          <w:sz w:val="20"/>
        </w:rPr>
      </w:pPr>
    </w:p>
    <w:p w14:paraId="3AE3EE33" w14:textId="77777777" w:rsidR="001F1010" w:rsidRDefault="001F1010">
      <w:pPr>
        <w:pStyle w:val="BodyText"/>
        <w:rPr>
          <w:sz w:val="20"/>
        </w:rPr>
      </w:pPr>
    </w:p>
    <w:p w14:paraId="5535DF3C" w14:textId="77777777" w:rsidR="001F1010" w:rsidRDefault="001F1010">
      <w:pPr>
        <w:pStyle w:val="BodyText"/>
        <w:rPr>
          <w:sz w:val="23"/>
        </w:rPr>
      </w:pPr>
    </w:p>
    <w:p w14:paraId="0EC1F04B" w14:textId="77777777" w:rsidR="001F1010" w:rsidRDefault="00000000">
      <w:pPr>
        <w:pStyle w:val="BodyText"/>
        <w:tabs>
          <w:tab w:val="left" w:pos="5694"/>
        </w:tabs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412C2B83" w14:textId="77777777" w:rsidR="001F1010" w:rsidRDefault="00000000">
      <w:pPr>
        <w:pStyle w:val="BodyText"/>
        <w:tabs>
          <w:tab w:val="left" w:pos="3665"/>
        </w:tabs>
        <w:spacing w:before="6" w:line="500" w:lineRule="atLeast"/>
        <w:ind w:left="324" w:right="4804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 xml:space="preserve">Issue Target Date: </w:t>
      </w:r>
      <w:r>
        <w:t>TBD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PGIM</w:t>
      </w:r>
    </w:p>
    <w:p w14:paraId="568E1841" w14:textId="77777777" w:rsidR="001F1010" w:rsidRDefault="00000000">
      <w:pPr>
        <w:pStyle w:val="BodyText"/>
        <w:spacing w:before="6"/>
        <w:ind w:left="324" w:right="5368"/>
      </w:pPr>
      <w:r>
        <w:rPr>
          <w:color w:val="1E487C"/>
        </w:rPr>
        <w:t xml:space="preserve">Business Group: </w:t>
      </w:r>
      <w:r>
        <w:t>PGIM-Operations and Innovation</w:t>
      </w:r>
      <w:r>
        <w:rPr>
          <w:spacing w:val="1"/>
        </w:rPr>
        <w:t xml:space="preserve"> </w:t>
      </w:r>
      <w:r>
        <w:rPr>
          <w:color w:val="1E487C"/>
        </w:rPr>
        <w:t>Reportable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Segment:</w:t>
      </w:r>
      <w:r>
        <w:rPr>
          <w:color w:val="1E487C"/>
          <w:spacing w:val="-1"/>
        </w:rPr>
        <w:t xml:space="preserve"> </w:t>
      </w:r>
      <w:r>
        <w:t>PGIM-Operations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Innovation</w:t>
      </w:r>
    </w:p>
    <w:p w14:paraId="24456363" w14:textId="77777777" w:rsidR="001F1010" w:rsidRDefault="00000000">
      <w:pPr>
        <w:pStyle w:val="BodyText"/>
        <w:spacing w:before="7"/>
        <w:rPr>
          <w:sz w:val="18"/>
        </w:rPr>
      </w:pPr>
      <w:r>
        <w:pict w14:anchorId="3493A40B">
          <v:shape id="_x0000_s2051" type="#_x0000_t202" style="position:absolute;margin-left:55.65pt;margin-top:13.45pt;width:483pt;height:178.6pt;z-index:-15727104;mso-wrap-distance-left:0;mso-wrap-distance-right:0;mso-position-horizontal-relative:page" fillcolor="#e0e9f4" strokecolor="#375c8a" strokeweight="1.5pt">
            <v:textbox inset="0,0,0,0">
              <w:txbxContent>
                <w:p w14:paraId="070B11A7" w14:textId="77777777" w:rsidR="001F1010" w:rsidRDefault="00000000">
                  <w:pPr>
                    <w:pStyle w:val="BodyText"/>
                    <w:ind w:right="7122"/>
                  </w:pPr>
                  <w:r>
                    <w:rPr>
                      <w:color w:val="1E487C"/>
                    </w:rPr>
                    <w:t xml:space="preserve">Action Plan ID: </w:t>
                  </w:r>
                  <w:r>
                    <w:t>AC-001390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Plan Description:</w:t>
                  </w:r>
                </w:p>
                <w:p w14:paraId="4EB0EF16" w14:textId="77777777" w:rsidR="001F1010" w:rsidRDefault="00000000">
                  <w:pPr>
                    <w:pStyle w:val="BodyText"/>
                  </w:pPr>
                  <w:r>
                    <w:t>Regulatory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(OIA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ML)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team:</w:t>
                  </w:r>
                </w:p>
                <w:p w14:paraId="74D11165" w14:textId="77777777" w:rsidR="001F101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</w:pPr>
                  <w:r>
                    <w:t>BSCR:</w:t>
                  </w:r>
                </w:p>
                <w:p w14:paraId="13954E9F" w14:textId="77777777" w:rsidR="001F1010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441"/>
                    </w:tabs>
                    <w:ind w:left="1439" w:right="165" w:hanging="360"/>
                    <w:jc w:val="both"/>
                  </w:pPr>
                  <w:r>
                    <w:t>The Regulatory Reporting (OIA &amp; ML) team will complete BSCR procedures for OIA and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mortgage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loans.</w:t>
                  </w:r>
                </w:p>
                <w:p w14:paraId="61F5F836" w14:textId="77777777" w:rsidR="001F1010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440"/>
                    </w:tabs>
                    <w:ind w:left="1439" w:right="427" w:hanging="360"/>
                    <w:jc w:val="both"/>
                  </w:pPr>
                  <w:r>
                    <w:t>The Regulatory Reporting (OIA &amp; ML) team will train a member of the Mortgage Loan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and OIA reporting teams on how to prepare the OIA and Mortgage Loan portions of 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BSCR.</w:t>
                  </w:r>
                </w:p>
                <w:p w14:paraId="34401047" w14:textId="77777777" w:rsidR="001F1010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439"/>
                      <w:tab w:val="left" w:pos="1441"/>
                    </w:tabs>
                  </w:pP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Regulatory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(OIA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ML)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BSCR.</w:t>
                  </w:r>
                </w:p>
                <w:p w14:paraId="18BD3369" w14:textId="77777777" w:rsidR="001F101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line="252" w:lineRule="exact"/>
                  </w:pPr>
                  <w:r>
                    <w:t>Ledger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Marsh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 feed:</w:t>
                  </w:r>
                </w:p>
                <w:p w14:paraId="2D69FECA" w14:textId="77777777" w:rsidR="001F1010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439"/>
                      <w:tab w:val="left" w:pos="1441"/>
                    </w:tabs>
                    <w:ind w:left="1439" w:right="203" w:hanging="360"/>
                  </w:pPr>
                  <w:r>
                    <w:t xml:space="preserve">The Regulatory Reporting (OIA &amp; ML) team will create a new </w:t>
                  </w:r>
                  <w:proofErr w:type="spellStart"/>
                  <w:r>
                    <w:t>Prismic</w:t>
                  </w:r>
                  <w:proofErr w:type="spellEnd"/>
                  <w:r>
                    <w:t xml:space="preserve"> entity in the ledger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system where balances related to sub-account 99999 will be housed and remove the need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manual intervention.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Procedures 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 updated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reflect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 new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process.</w:t>
                  </w:r>
                </w:p>
              </w:txbxContent>
            </v:textbox>
            <w10:wrap type="topAndBottom" anchorx="page"/>
          </v:shape>
        </w:pict>
      </w:r>
    </w:p>
    <w:p w14:paraId="1502846A" w14:textId="77777777" w:rsidR="001F1010" w:rsidRDefault="001F1010">
      <w:pPr>
        <w:pStyle w:val="BodyText"/>
        <w:spacing w:before="3"/>
        <w:rPr>
          <w:sz w:val="20"/>
        </w:rPr>
      </w:pP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4128"/>
        <w:gridCol w:w="2538"/>
      </w:tblGrid>
      <w:tr w:rsidR="001F1010" w14:paraId="06F93883" w14:textId="77777777">
        <w:trPr>
          <w:trHeight w:val="248"/>
        </w:trPr>
        <w:tc>
          <w:tcPr>
            <w:tcW w:w="2201" w:type="dxa"/>
          </w:tcPr>
          <w:p w14:paraId="1C9E99DF" w14:textId="77777777" w:rsidR="001F101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28" w:type="dxa"/>
          </w:tcPr>
          <w:p w14:paraId="0B81BECE" w14:textId="77777777" w:rsidR="001F1010" w:rsidRDefault="00000000">
            <w:pPr>
              <w:pStyle w:val="TableParagraph"/>
              <w:ind w:left="392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38" w:type="dxa"/>
          </w:tcPr>
          <w:p w14:paraId="0B81A08F" w14:textId="77777777" w:rsidR="001F1010" w:rsidRDefault="00000000">
            <w:pPr>
              <w:pStyle w:val="TableParagraph"/>
              <w:ind w:left="790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1F1010" w14:paraId="228176C7" w14:textId="77777777">
        <w:trPr>
          <w:trHeight w:val="248"/>
        </w:trPr>
        <w:tc>
          <w:tcPr>
            <w:tcW w:w="2201" w:type="dxa"/>
          </w:tcPr>
          <w:p w14:paraId="21F9B3A9" w14:textId="77777777" w:rsidR="001F1010" w:rsidRDefault="00000000">
            <w:pPr>
              <w:pStyle w:val="TableParagraph"/>
              <w:ind w:left="65"/>
            </w:pPr>
            <w:r>
              <w:t>Maria</w:t>
            </w:r>
            <w:r>
              <w:rPr>
                <w:spacing w:val="-1"/>
              </w:rPr>
              <w:t xml:space="preserve"> </w:t>
            </w:r>
            <w:r>
              <w:t>Bifulco</w:t>
            </w:r>
          </w:p>
        </w:tc>
        <w:tc>
          <w:tcPr>
            <w:tcW w:w="4128" w:type="dxa"/>
          </w:tcPr>
          <w:p w14:paraId="036E2B79" w14:textId="77777777" w:rsidR="001F1010" w:rsidRDefault="00000000">
            <w:pPr>
              <w:pStyle w:val="TableParagraph"/>
              <w:ind w:left="1446" w:right="1639"/>
              <w:jc w:val="center"/>
            </w:pPr>
            <w:r>
              <w:t>07/31/2024</w:t>
            </w:r>
          </w:p>
        </w:tc>
        <w:tc>
          <w:tcPr>
            <w:tcW w:w="2538" w:type="dxa"/>
          </w:tcPr>
          <w:p w14:paraId="3486629A" w14:textId="77777777" w:rsidR="001F1010" w:rsidRDefault="00000000">
            <w:pPr>
              <w:pStyle w:val="TableParagraph"/>
              <w:ind w:left="1655"/>
            </w:pPr>
            <w:r>
              <w:t>Open</w:t>
            </w:r>
          </w:p>
        </w:tc>
      </w:tr>
    </w:tbl>
    <w:p w14:paraId="5BB6790C" w14:textId="77777777" w:rsidR="001F1010" w:rsidRDefault="001F1010">
      <w:pPr>
        <w:pStyle w:val="BodyText"/>
        <w:rPr>
          <w:sz w:val="20"/>
        </w:rPr>
      </w:pPr>
    </w:p>
    <w:p w14:paraId="024EA984" w14:textId="77777777" w:rsidR="001F1010" w:rsidRDefault="00000000">
      <w:pPr>
        <w:pStyle w:val="BodyText"/>
        <w:spacing w:before="6"/>
        <w:rPr>
          <w:sz w:val="20"/>
        </w:rPr>
      </w:pPr>
      <w:r>
        <w:pict w14:anchorId="1F091CC1">
          <v:shape id="_x0000_s2050" type="#_x0000_t202" style="position:absolute;margin-left:55.65pt;margin-top:14.55pt;width:483pt;height:77.4pt;z-index:-15726592;mso-wrap-distance-left:0;mso-wrap-distance-right:0;mso-position-horizontal-relative:page" fillcolor="#e0e9f4" strokecolor="#375c8a" strokeweight="1.5pt">
            <v:textbox inset="0,0,0,0">
              <w:txbxContent>
                <w:p w14:paraId="48B6A8CC" w14:textId="77777777" w:rsidR="001F1010" w:rsidRDefault="00000000">
                  <w:pPr>
                    <w:pStyle w:val="BodyText"/>
                    <w:ind w:right="7122"/>
                  </w:pPr>
                  <w:r>
                    <w:rPr>
                      <w:color w:val="1E487C"/>
                    </w:rPr>
                    <w:t xml:space="preserve">Action Plan ID: </w:t>
                  </w:r>
                  <w:r>
                    <w:t>AC-001379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Plan Description:</w:t>
                  </w:r>
                </w:p>
                <w:p w14:paraId="22766ACF" w14:textId="77777777" w:rsidR="001F1010" w:rsidRDefault="00000000">
                  <w:pPr>
                    <w:pStyle w:val="BodyText"/>
                    <w:spacing w:line="252" w:lineRule="exact"/>
                  </w:pPr>
                  <w:r>
                    <w:t>Regulatory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(Securities)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team:</w:t>
                  </w:r>
                </w:p>
                <w:p w14:paraId="33EC52BA" w14:textId="77777777" w:rsidR="001F1010" w:rsidRDefault="00000000">
                  <w:pPr>
                    <w:pStyle w:val="BodyText"/>
                  </w:pPr>
                  <w:r>
                    <w:t>The manager of the Regulatory Reporting (Securities) team will complete the BSCR Categorizations and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templates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Regulatory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(Securities)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securities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template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submissions.</w:t>
                  </w:r>
                </w:p>
              </w:txbxContent>
            </v:textbox>
            <w10:wrap type="topAndBottom" anchorx="page"/>
          </v:shape>
        </w:pict>
      </w:r>
    </w:p>
    <w:p w14:paraId="1EC9CC80" w14:textId="77777777" w:rsidR="001F1010" w:rsidRDefault="001F1010">
      <w:pPr>
        <w:pStyle w:val="BodyText"/>
        <w:spacing w:before="3"/>
        <w:rPr>
          <w:sz w:val="20"/>
        </w:rPr>
      </w:pP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4128"/>
        <w:gridCol w:w="2538"/>
      </w:tblGrid>
      <w:tr w:rsidR="001F1010" w14:paraId="6C81FEC8" w14:textId="77777777">
        <w:trPr>
          <w:trHeight w:val="247"/>
        </w:trPr>
        <w:tc>
          <w:tcPr>
            <w:tcW w:w="2201" w:type="dxa"/>
          </w:tcPr>
          <w:p w14:paraId="3EB71009" w14:textId="77777777" w:rsidR="001F101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28" w:type="dxa"/>
          </w:tcPr>
          <w:p w14:paraId="0FEF0955" w14:textId="77777777" w:rsidR="001F1010" w:rsidRDefault="00000000">
            <w:pPr>
              <w:pStyle w:val="TableParagraph"/>
              <w:ind w:left="392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38" w:type="dxa"/>
          </w:tcPr>
          <w:p w14:paraId="6045B01C" w14:textId="77777777" w:rsidR="001F1010" w:rsidRDefault="00000000">
            <w:pPr>
              <w:pStyle w:val="TableParagraph"/>
              <w:ind w:left="790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1F1010" w14:paraId="303DCCB1" w14:textId="77777777">
        <w:trPr>
          <w:trHeight w:val="247"/>
        </w:trPr>
        <w:tc>
          <w:tcPr>
            <w:tcW w:w="2201" w:type="dxa"/>
          </w:tcPr>
          <w:p w14:paraId="52182BFA" w14:textId="77777777" w:rsidR="001F1010" w:rsidRDefault="00000000">
            <w:pPr>
              <w:pStyle w:val="TableParagraph"/>
              <w:ind w:left="65"/>
            </w:pPr>
            <w:r>
              <w:t>Emily</w:t>
            </w:r>
            <w:r>
              <w:rPr>
                <w:spacing w:val="-2"/>
              </w:rPr>
              <w:t xml:space="preserve"> </w:t>
            </w:r>
            <w:r>
              <w:t>Bock-Russo</w:t>
            </w:r>
          </w:p>
        </w:tc>
        <w:tc>
          <w:tcPr>
            <w:tcW w:w="4128" w:type="dxa"/>
          </w:tcPr>
          <w:p w14:paraId="045BF043" w14:textId="77777777" w:rsidR="001F1010" w:rsidRDefault="00000000">
            <w:pPr>
              <w:pStyle w:val="TableParagraph"/>
              <w:ind w:left="747"/>
            </w:pPr>
            <w:r>
              <w:t>07/31/2024</w:t>
            </w:r>
          </w:p>
        </w:tc>
        <w:tc>
          <w:tcPr>
            <w:tcW w:w="2538" w:type="dxa"/>
          </w:tcPr>
          <w:p w14:paraId="561CF708" w14:textId="77777777" w:rsidR="001F1010" w:rsidRDefault="00000000">
            <w:pPr>
              <w:pStyle w:val="TableParagraph"/>
              <w:ind w:left="1657"/>
            </w:pPr>
            <w:r>
              <w:t>Open</w:t>
            </w:r>
          </w:p>
        </w:tc>
      </w:tr>
    </w:tbl>
    <w:p w14:paraId="4DE27386" w14:textId="77777777" w:rsidR="001F1010" w:rsidRDefault="001F1010">
      <w:pPr>
        <w:pStyle w:val="BodyText"/>
        <w:rPr>
          <w:sz w:val="20"/>
        </w:rPr>
      </w:pPr>
    </w:p>
    <w:p w14:paraId="0376B1A0" w14:textId="77777777" w:rsidR="001F1010" w:rsidRDefault="001F1010">
      <w:pPr>
        <w:pStyle w:val="BodyText"/>
        <w:rPr>
          <w:sz w:val="20"/>
        </w:rPr>
      </w:pPr>
    </w:p>
    <w:p w14:paraId="7B8907B6" w14:textId="77777777" w:rsidR="001F1010" w:rsidRDefault="001F1010">
      <w:pPr>
        <w:pStyle w:val="BodyText"/>
        <w:rPr>
          <w:sz w:val="20"/>
        </w:rPr>
      </w:pPr>
    </w:p>
    <w:p w14:paraId="52F9C0FC" w14:textId="77777777" w:rsidR="001F1010" w:rsidRDefault="001F1010">
      <w:pPr>
        <w:pStyle w:val="BodyText"/>
        <w:rPr>
          <w:sz w:val="20"/>
        </w:rPr>
      </w:pPr>
    </w:p>
    <w:p w14:paraId="526D64BA" w14:textId="77777777" w:rsidR="001F1010" w:rsidRDefault="001F1010">
      <w:pPr>
        <w:pStyle w:val="BodyText"/>
        <w:rPr>
          <w:sz w:val="20"/>
        </w:rPr>
      </w:pPr>
    </w:p>
    <w:p w14:paraId="49BE23F6" w14:textId="77777777" w:rsidR="001F1010" w:rsidRDefault="001F1010">
      <w:pPr>
        <w:pStyle w:val="BodyText"/>
        <w:rPr>
          <w:sz w:val="20"/>
        </w:rPr>
      </w:pPr>
    </w:p>
    <w:p w14:paraId="1E767FE4" w14:textId="77777777" w:rsidR="001F1010" w:rsidRDefault="001F1010">
      <w:pPr>
        <w:pStyle w:val="BodyText"/>
        <w:spacing w:before="2"/>
        <w:rPr>
          <w:sz w:val="23"/>
        </w:rPr>
      </w:pPr>
    </w:p>
    <w:p w14:paraId="43151A68" w14:textId="77777777" w:rsidR="001F1010" w:rsidRDefault="00000000">
      <w:pPr>
        <w:spacing w:before="93" w:line="266" w:lineRule="auto"/>
        <w:ind w:left="685" w:right="168"/>
        <w:rPr>
          <w:sz w:val="18"/>
        </w:rPr>
      </w:pPr>
      <w:r>
        <w:rPr>
          <w:color w:val="1E487C"/>
          <w:sz w:val="18"/>
        </w:rPr>
        <w:t>This report is confidential and not to be distributed to anyone beyond the individuals indicated. Should copies of this report be</w:t>
      </w:r>
      <w:r>
        <w:rPr>
          <w:color w:val="1E487C"/>
          <w:spacing w:val="1"/>
          <w:sz w:val="18"/>
        </w:rPr>
        <w:t xml:space="preserve"> </w:t>
      </w:r>
      <w:r>
        <w:rPr>
          <w:color w:val="1E487C"/>
          <w:sz w:val="18"/>
        </w:rPr>
        <w:t>requested</w:t>
      </w:r>
      <w:r>
        <w:rPr>
          <w:color w:val="1E487C"/>
          <w:spacing w:val="-4"/>
          <w:sz w:val="18"/>
        </w:rPr>
        <w:t xml:space="preserve"> </w:t>
      </w:r>
      <w:r>
        <w:rPr>
          <w:color w:val="1E487C"/>
          <w:sz w:val="18"/>
        </w:rPr>
        <w:t>by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any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employee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of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ABC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Company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or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subsidiaries,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request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should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be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referred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to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Internal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Audit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Department.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All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re-</w:t>
      </w:r>
      <w:r>
        <w:rPr>
          <w:color w:val="1E487C"/>
          <w:spacing w:val="-42"/>
          <w:sz w:val="18"/>
        </w:rPr>
        <w:t xml:space="preserve"> </w:t>
      </w:r>
      <w:r>
        <w:rPr>
          <w:color w:val="1E487C"/>
          <w:sz w:val="18"/>
        </w:rPr>
        <w:t>quests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by external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parties, either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individual or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regulatory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entity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should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be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referred to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the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Law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Department.</w:t>
      </w:r>
    </w:p>
    <w:p w14:paraId="1BA2D3B0" w14:textId="77777777" w:rsidR="001F1010" w:rsidRDefault="00000000">
      <w:pPr>
        <w:spacing w:line="218" w:lineRule="exact"/>
        <w:ind w:left="5241"/>
        <w:rPr>
          <w:sz w:val="19"/>
        </w:rPr>
      </w:pPr>
      <w:r>
        <w:rPr>
          <w:sz w:val="19"/>
        </w:rPr>
        <w:t>6</w:t>
      </w:r>
      <w:r>
        <w:rPr>
          <w:spacing w:val="-3"/>
          <w:sz w:val="19"/>
        </w:rPr>
        <w:t xml:space="preserve"> </w:t>
      </w:r>
      <w:r>
        <w:rPr>
          <w:sz w:val="18"/>
        </w:rPr>
        <w:t xml:space="preserve">of </w:t>
      </w:r>
      <w:r>
        <w:rPr>
          <w:sz w:val="19"/>
        </w:rPr>
        <w:t>6</w:t>
      </w:r>
    </w:p>
    <w:sectPr w:rsidR="001F1010">
      <w:headerReference w:type="default" r:id="rId17"/>
      <w:footerReference w:type="default" r:id="rId18"/>
      <w:pgSz w:w="12240" w:h="15840"/>
      <w:pgMar w:top="2020" w:right="920" w:bottom="280" w:left="740" w:header="9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6DD48" w14:textId="77777777" w:rsidR="004060B0" w:rsidRDefault="004060B0">
      <w:r>
        <w:separator/>
      </w:r>
    </w:p>
  </w:endnote>
  <w:endnote w:type="continuationSeparator" w:id="0">
    <w:p w14:paraId="0BAB2B0A" w14:textId="77777777" w:rsidR="004060B0" w:rsidRDefault="0040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2BEB" w14:textId="77777777" w:rsidR="000764BD" w:rsidRDefault="00076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1BD5C" w14:textId="77777777" w:rsidR="000764BD" w:rsidRDefault="00076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32CA" w14:textId="77777777" w:rsidR="000764BD" w:rsidRDefault="000764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F8EBC" w14:textId="77777777" w:rsidR="001F1010" w:rsidRDefault="00000000">
    <w:pPr>
      <w:pStyle w:val="BodyText"/>
      <w:spacing w:line="14" w:lineRule="auto"/>
      <w:rPr>
        <w:sz w:val="20"/>
      </w:rPr>
    </w:pPr>
    <w:r>
      <w:pict w14:anchorId="340977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4pt;margin-top:709.8pt;width:507.75pt;height:46.5pt;z-index:-15865344;mso-position-horizontal-relative:page;mso-position-vertical-relative:page" filled="f" stroked="f">
          <v:textbox inset="0,0,0,0">
            <w:txbxContent>
              <w:p w14:paraId="02E91A12" w14:textId="77777777" w:rsidR="001F1010" w:rsidRDefault="00000000">
                <w:pPr>
                  <w:spacing w:before="12" w:line="266" w:lineRule="auto"/>
                  <w:ind w:left="19" w:right="78"/>
                  <w:jc w:val="center"/>
                  <w:rPr>
                    <w:sz w:val="18"/>
                  </w:rPr>
                </w:pPr>
                <w:r>
                  <w:rPr>
                    <w:color w:val="1E487C"/>
                    <w:sz w:val="18"/>
                  </w:rPr>
                  <w:t>This report is confidential and not to be distributed to anyone beyond the individuals indicated. Should copies of this report be requested by</w:t>
                </w:r>
                <w:r>
                  <w:rPr>
                    <w:color w:val="1E487C"/>
                    <w:spacing w:val="-4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any employee of ABC Company or subsidiaries, the request should be referred to the Internal Audit Department. All requests by external</w:t>
                </w:r>
                <w:r>
                  <w:rPr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parties,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either individual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or regulatory entity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 referred to the Law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</w:p>
              <w:p w14:paraId="4399DE75" w14:textId="77777777" w:rsidR="001F1010" w:rsidRDefault="00000000">
                <w:pPr>
                  <w:spacing w:before="1"/>
                  <w:ind w:left="130" w:right="78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A36E1" w14:textId="77777777" w:rsidR="001F1010" w:rsidRDefault="00000000">
    <w:pPr>
      <w:pStyle w:val="BodyText"/>
      <w:spacing w:line="14" w:lineRule="auto"/>
      <w:rPr>
        <w:sz w:val="20"/>
      </w:rPr>
    </w:pPr>
    <w:r>
      <w:pict w14:anchorId="55EAF7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6pt;margin-top:740.1pt;width:23.55pt;height:12.5pt;z-index:-15864320;mso-position-horizontal-relative:page;mso-position-vertical-relative:page" filled="f" stroked="f">
          <v:textbox inset="0,0,0,0">
            <w:txbxContent>
              <w:p w14:paraId="48BDC59D" w14:textId="77777777" w:rsidR="001F1010" w:rsidRDefault="00000000">
                <w:pPr>
                  <w:spacing w:before="11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5</w:t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8"/>
                  </w:rPr>
                  <w:t xml:space="preserve">of </w:t>
                </w:r>
                <w:r>
                  <w:rPr>
                    <w:sz w:val="19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0431E" w14:textId="77777777" w:rsidR="001F1010" w:rsidRDefault="001F10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6770" w14:textId="77777777" w:rsidR="004060B0" w:rsidRDefault="004060B0">
      <w:r>
        <w:separator/>
      </w:r>
    </w:p>
  </w:footnote>
  <w:footnote w:type="continuationSeparator" w:id="0">
    <w:p w14:paraId="5EE6D644" w14:textId="77777777" w:rsidR="004060B0" w:rsidRDefault="00406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3528D" w14:textId="77777777" w:rsidR="000764BD" w:rsidRDefault="00076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7527" w14:textId="77777777" w:rsidR="001F101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112" behindDoc="1" locked="0" layoutInCell="1" allowOverlap="1" wp14:anchorId="10BC85C1" wp14:editId="4C8BDCA5">
          <wp:simplePos x="0" y="0"/>
          <wp:positionH relativeFrom="page">
            <wp:posOffset>601980</wp:posOffset>
          </wp:positionH>
          <wp:positionV relativeFrom="page">
            <wp:posOffset>457200</wp:posOffset>
          </wp:positionV>
          <wp:extent cx="6356985" cy="64894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1094"/>
                  <a:stretch/>
                </pic:blipFill>
                <pic:spPr>
                  <a:xfrm>
                    <a:off x="0" y="0"/>
                    <a:ext cx="6579453" cy="6716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8874" w14:textId="77777777" w:rsidR="000764BD" w:rsidRDefault="000764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34E62" w14:textId="08C15243" w:rsidR="001F1010" w:rsidRDefault="00E567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7B7D7C59" wp14:editId="79F90047">
          <wp:simplePos x="0" y="0"/>
          <wp:positionH relativeFrom="page">
            <wp:posOffset>652780</wp:posOffset>
          </wp:positionH>
          <wp:positionV relativeFrom="page">
            <wp:posOffset>457200</wp:posOffset>
          </wp:positionV>
          <wp:extent cx="6356985" cy="648943"/>
          <wp:effectExtent l="0" t="0" r="0" b="0"/>
          <wp:wrapNone/>
          <wp:docPr id="3819365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1094"/>
                  <a:stretch/>
                </pic:blipFill>
                <pic:spPr>
                  <a:xfrm>
                    <a:off x="0" y="0"/>
                    <a:ext cx="6356985" cy="648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2B34" w14:textId="58DF5116" w:rsidR="001F1010" w:rsidRDefault="00E567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768" behindDoc="1" locked="0" layoutInCell="1" allowOverlap="1" wp14:anchorId="0A36A651" wp14:editId="1C95D042">
          <wp:simplePos x="0" y="0"/>
          <wp:positionH relativeFrom="page">
            <wp:posOffset>652780</wp:posOffset>
          </wp:positionH>
          <wp:positionV relativeFrom="page">
            <wp:posOffset>631825</wp:posOffset>
          </wp:positionV>
          <wp:extent cx="6356985" cy="648943"/>
          <wp:effectExtent l="0" t="0" r="0" b="0"/>
          <wp:wrapNone/>
          <wp:docPr id="6055633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1094"/>
                  <a:stretch/>
                </pic:blipFill>
                <pic:spPr>
                  <a:xfrm>
                    <a:off x="0" y="0"/>
                    <a:ext cx="6356985" cy="648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9947" w14:textId="0DCFC68F" w:rsidR="001F1010" w:rsidRDefault="00E567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816" behindDoc="1" locked="0" layoutInCell="1" allowOverlap="1" wp14:anchorId="77011963" wp14:editId="0037E913">
          <wp:simplePos x="0" y="0"/>
          <wp:positionH relativeFrom="page">
            <wp:posOffset>469900</wp:posOffset>
          </wp:positionH>
          <wp:positionV relativeFrom="page">
            <wp:posOffset>624205</wp:posOffset>
          </wp:positionV>
          <wp:extent cx="6356985" cy="648943"/>
          <wp:effectExtent l="0" t="0" r="0" b="0"/>
          <wp:wrapNone/>
          <wp:docPr id="101663536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1094"/>
                  <a:stretch/>
                </pic:blipFill>
                <pic:spPr>
                  <a:xfrm>
                    <a:off x="0" y="0"/>
                    <a:ext cx="6579453" cy="6716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7F21"/>
    <w:multiLevelType w:val="hybridMultilevel"/>
    <w:tmpl w:val="CA12A686"/>
    <w:lvl w:ilvl="0" w:tplc="CFD6D664">
      <w:numFmt w:val="bullet"/>
      <w:lvlText w:val=""/>
      <w:lvlJc w:val="left"/>
      <w:pPr>
        <w:ind w:left="186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572E094E">
      <w:numFmt w:val="bullet"/>
      <w:lvlText w:val="o"/>
      <w:lvlJc w:val="left"/>
      <w:pPr>
        <w:ind w:left="1626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30CC4DB6">
      <w:numFmt w:val="bullet"/>
      <w:lvlText w:val=""/>
      <w:lvlJc w:val="left"/>
      <w:pPr>
        <w:ind w:left="2346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3" w:tplc="D2E8CFB4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BFEC370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9D0366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196E1ACC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6958D4B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225C9C1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859CB"/>
    <w:multiLevelType w:val="hybridMultilevel"/>
    <w:tmpl w:val="EE48CEE4"/>
    <w:lvl w:ilvl="0" w:tplc="98E0387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556F7D8">
      <w:start w:val="1"/>
      <w:numFmt w:val="lowerLetter"/>
      <w:lvlText w:val="%2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2" w:tplc="CBEE17C2"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3" w:tplc="B7F82550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4" w:tplc="EEC81170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5" w:tplc="6A104F1E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A900D15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7" w:tplc="A858A66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75768EF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</w:abstractNum>
  <w:num w:numId="1" w16cid:durableId="240792929">
    <w:abstractNumId w:val="1"/>
  </w:num>
  <w:num w:numId="2" w16cid:durableId="175547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010"/>
    <w:rsid w:val="000764BD"/>
    <w:rsid w:val="001F1010"/>
    <w:rsid w:val="004060B0"/>
    <w:rsid w:val="00635C6B"/>
    <w:rsid w:val="006A0A3B"/>
    <w:rsid w:val="00E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3607D79"/>
  <w15:docId w15:val="{FE50E6F3-E5B8-4C7A-9691-B3EA444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46" w:hanging="361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635C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C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5C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C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FM and PGIM OI-Structured Settlement Reinsurance and Asset Accounting Audit Report and Issues</dc:title>
  <dc:creator>X187547</dc:creator>
  <cp:lastModifiedBy>Shubham A Singh</cp:lastModifiedBy>
  <cp:revision>5</cp:revision>
  <dcterms:created xsi:type="dcterms:W3CDTF">2024-08-07T11:04:00Z</dcterms:created>
  <dcterms:modified xsi:type="dcterms:W3CDTF">2024-08-07T11:25:00Z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2024-08-07T00:00:00Z</vt:filetime>
  </property>
</Properties>
</file>