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1E8B" w14:textId="77777777" w:rsidR="004B182A" w:rsidRDefault="00000000">
      <w:pPr>
        <w:pStyle w:val="Heading2"/>
      </w:pPr>
      <w:r>
        <w:t>Issue #:</w:t>
      </w:r>
    </w:p>
    <w:p w14:paraId="4E4084E6" w14:textId="77777777" w:rsidR="004B182A" w:rsidRDefault="00000000">
      <w:r>
        <w:t>IS-001363</w:t>
      </w:r>
    </w:p>
    <w:p w14:paraId="1C37538F" w14:textId="77777777" w:rsidR="004B182A" w:rsidRDefault="00000000">
      <w:pPr>
        <w:pStyle w:val="Heading2"/>
      </w:pPr>
      <w:r>
        <w:t>Issue Name:</w:t>
      </w:r>
    </w:p>
    <w:p w14:paraId="118D4CEC" w14:textId="0982C062" w:rsidR="004B182A" w:rsidRDefault="00000000">
      <w:r>
        <w:t xml:space="preserve">Lack of secondary/peer review for the invested asset data provided to </w:t>
      </w:r>
      <w:r w:rsidR="008D110C">
        <w:t>Prisma</w:t>
      </w:r>
      <w:r>
        <w:t xml:space="preserve"> by the PGIM</w:t>
      </w:r>
      <w:r>
        <w:br/>
        <w:t xml:space="preserve">Operations and Innovations (PGIM O&amp;I) team for </w:t>
      </w:r>
      <w:r w:rsidR="008D110C">
        <w:t>Prisma</w:t>
      </w:r>
      <w:r>
        <w:t xml:space="preserve"> Bermuda Solvency Capital Requirement (BSCR)</w:t>
      </w:r>
      <w:r>
        <w:br/>
        <w:t>reporting and investment accounting balances for their trial balance and financial statements.</w:t>
      </w:r>
    </w:p>
    <w:p w14:paraId="74CCC782" w14:textId="77777777" w:rsidR="004B182A" w:rsidRDefault="00000000">
      <w:pPr>
        <w:pStyle w:val="Heading2"/>
      </w:pPr>
      <w:r>
        <w:t>Root Cause Explanation:</w:t>
      </w:r>
    </w:p>
    <w:p w14:paraId="6F0EB4E5" w14:textId="74CDC7EE" w:rsidR="004B182A" w:rsidRDefault="00000000">
      <w:r>
        <w:t xml:space="preserve">The root cause can be attributed to the fact that 3Q23 was the first time the data was provided for the </w:t>
      </w:r>
      <w:r w:rsidR="008D110C">
        <w:t>Prisma</w:t>
      </w:r>
      <w:r>
        <w:br/>
        <w:t>BSCR template and trial balance, and primary focus was on execution of the processes instead of establishment of</w:t>
      </w:r>
      <w:r>
        <w:br/>
        <w:t>formal review processes.</w:t>
      </w:r>
    </w:p>
    <w:p w14:paraId="223E99F9" w14:textId="77777777" w:rsidR="004B182A" w:rsidRDefault="00000000">
      <w:pPr>
        <w:pStyle w:val="Heading2"/>
      </w:pPr>
      <w:r>
        <w:t>Issue Rating:</w:t>
      </w:r>
    </w:p>
    <w:p w14:paraId="56A5A4C5" w14:textId="77777777" w:rsidR="004B182A" w:rsidRDefault="00000000">
      <w:r>
        <w:t>Low Repeat Issue: No</w:t>
      </w:r>
      <w:r>
        <w:br/>
        <w:t>Status: Open Issue Target Date: TBD</w:t>
      </w:r>
    </w:p>
    <w:p w14:paraId="2BAF0610" w14:textId="77777777" w:rsidR="004B182A" w:rsidRDefault="00000000">
      <w:pPr>
        <w:pStyle w:val="Heading2"/>
      </w:pPr>
      <w:r>
        <w:t>Operating Division:</w:t>
      </w:r>
    </w:p>
    <w:p w14:paraId="74886E40" w14:textId="77777777" w:rsidR="004B182A" w:rsidRDefault="00000000">
      <w:r>
        <w:t>PGIM</w:t>
      </w:r>
    </w:p>
    <w:p w14:paraId="30FA704E" w14:textId="77777777" w:rsidR="004B182A" w:rsidRDefault="00000000">
      <w:pPr>
        <w:pStyle w:val="Heading2"/>
      </w:pPr>
      <w:r>
        <w:t>Risk Category:</w:t>
      </w:r>
    </w:p>
    <w:p w14:paraId="12B33F46" w14:textId="77777777" w:rsidR="004B182A" w:rsidRDefault="00000000">
      <w:r>
        <w:t>5. Accounting and Financial Reporting</w:t>
      </w:r>
    </w:p>
    <w:p w14:paraId="018F193B" w14:textId="77777777" w:rsidR="004B182A" w:rsidRDefault="00000000">
      <w:pPr>
        <w:pStyle w:val="Heading2"/>
      </w:pPr>
      <w:r>
        <w:t>Risk Sub-Category:</w:t>
      </w:r>
    </w:p>
    <w:p w14:paraId="69C793C5" w14:textId="77777777" w:rsidR="004B182A" w:rsidRDefault="00000000">
      <w:r>
        <w:t>5.1 External Financial Reporting</w:t>
      </w:r>
    </w:p>
    <w:p w14:paraId="287CD445" w14:textId="77777777" w:rsidR="004B182A" w:rsidRDefault="00000000">
      <w:pPr>
        <w:pStyle w:val="Heading2"/>
      </w:pPr>
      <w:r>
        <w:t>Root Cause Category:</w:t>
      </w:r>
    </w:p>
    <w:p w14:paraId="57E828FE" w14:textId="77777777" w:rsidR="004B182A" w:rsidRDefault="00000000">
      <w:r>
        <w:t>Process</w:t>
      </w:r>
    </w:p>
    <w:sectPr w:rsidR="004B1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633872">
    <w:abstractNumId w:val="8"/>
  </w:num>
  <w:num w:numId="2" w16cid:durableId="1679774744">
    <w:abstractNumId w:val="6"/>
  </w:num>
  <w:num w:numId="3" w16cid:durableId="408190177">
    <w:abstractNumId w:val="5"/>
  </w:num>
  <w:num w:numId="4" w16cid:durableId="784695165">
    <w:abstractNumId w:val="4"/>
  </w:num>
  <w:num w:numId="5" w16cid:durableId="1596287855">
    <w:abstractNumId w:val="7"/>
  </w:num>
  <w:num w:numId="6" w16cid:durableId="943615095">
    <w:abstractNumId w:val="3"/>
  </w:num>
  <w:num w:numId="7" w16cid:durableId="807164169">
    <w:abstractNumId w:val="2"/>
  </w:num>
  <w:num w:numId="8" w16cid:durableId="186607176">
    <w:abstractNumId w:val="1"/>
  </w:num>
  <w:num w:numId="9" w16cid:durableId="19025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82A"/>
    <w:rsid w:val="006B4870"/>
    <w:rsid w:val="008D11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DB3E4"/>
  <w14:defaultImageDpi w14:val="300"/>
  <w15:docId w15:val="{7E04A21A-B4C5-4417-9092-AE6E0B4A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3</cp:revision>
  <dcterms:created xsi:type="dcterms:W3CDTF">2013-12-23T23:15:00Z</dcterms:created>
  <dcterms:modified xsi:type="dcterms:W3CDTF">2024-08-07T09:51:00Z</dcterms:modified>
  <cp:category/>
</cp:coreProperties>
</file>