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9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0.xml" ContentType="application/vnd.openxmlformats-officedocument.wordprocessingml.footer+xml"/>
  <Override PartName="/word/footer6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492_3689374815" w:tooltip="ВВЕДЕНИЕ">
            <w:r>
              <w:rPr>
                <w:rStyle w:val="IndexLink"/>
                <w:webHidden/>
              </w:rPr>
              <w:t>ВВЕДЕНИЕ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494_3689374815" w:tooltip="1 Иллюстрации и подписи">
            <w:r>
              <w:rPr>
                <w:rStyle w:val="IndexLink"/>
                <w:webHidden/>
              </w:rPr>
              <w:t>1 Иллюстрации и подписи</w:t>
              <w:tab/>
              <w:t>3</w:t>
            </w:r>
          </w:hyperlink>
        </w:p>
        <w:p>
          <w:pPr>
            <w:pStyle w:val="TOC3"/>
            <w:tabs>
              <w:tab w:val="clear" w:pos="720"/>
              <w:tab w:val="right" w:pos="9354" w:leader="dot"/>
            </w:tabs>
            <w:rPr/>
          </w:pPr>
          <w:hyperlink w:anchor="__RefHeading___Toc496_3689374815" w:tooltip="1.1 Пример иллюстрации">
            <w:r>
              <w:rPr>
                <w:rStyle w:val="IndexLink"/>
                <w:webHidden/>
              </w:rPr>
              <w:t>1.1 Пример иллюстрации</w:t>
              <w:tab/>
              <w:t>3</w:t>
            </w:r>
          </w:hyperlink>
        </w:p>
        <w:p>
          <w:pPr>
            <w:pStyle w:val="TOC3"/>
            <w:tabs>
              <w:tab w:val="clear" w:pos="720"/>
              <w:tab w:val="right" w:pos="9354" w:leader="dot"/>
            </w:tabs>
            <w:rPr/>
          </w:pPr>
          <w:hyperlink w:anchor="__RefHeading___Toc498_3689374815" w:tooltip="1.2 Несколько иллюстраций подряд">
            <w:r>
              <w:rPr>
                <w:rStyle w:val="IndexLink"/>
                <w:webHidden/>
              </w:rPr>
              <w:t>1.2 Несколько иллюстраций подряд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500_3689374815" w:tooltip="2 Таблицы">
            <w:r>
              <w:rPr>
                <w:rStyle w:val="IndexLink"/>
                <w:webHidden/>
              </w:rPr>
              <w:t>2 Таблицы</w:t>
              <w:tab/>
              <w:t>5</w:t>
            </w:r>
          </w:hyperlink>
        </w:p>
        <w:p>
          <w:pPr>
            <w:pStyle w:val="TOC3"/>
            <w:tabs>
              <w:tab w:val="clear" w:pos="720"/>
              <w:tab w:val="right" w:pos="9354" w:leader="dot"/>
            </w:tabs>
            <w:rPr/>
          </w:pPr>
          <w:hyperlink w:anchor="__RefHeading___Toc502_3689374815" w:tooltip="2.1 Простая таблица">
            <w:r>
              <w:rPr>
                <w:rStyle w:val="IndexLink"/>
                <w:webHidden/>
              </w:rPr>
              <w:t>2.1 Простая таблица</w:t>
              <w:tab/>
              <w:t>5</w:t>
            </w:r>
          </w:hyperlink>
        </w:p>
        <w:p>
          <w:pPr>
            <w:pStyle w:val="TOC3"/>
            <w:tabs>
              <w:tab w:val="clear" w:pos="720"/>
              <w:tab w:val="right" w:pos="9354" w:leader="dot"/>
            </w:tabs>
            <w:rPr/>
          </w:pPr>
          <w:hyperlink w:anchor="__RefHeading___Toc504_3689374815" w:tooltip="2.2 Таблица с многострочными ячейками">
            <w:r>
              <w:rPr>
                <w:rStyle w:val="IndexLink"/>
                <w:webHidden/>
              </w:rPr>
              <w:t>2.2 Таблица с многострочными ячейками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506_3689374815" w:tooltip="3 Формулы и уравнения">
            <w:r>
              <w:rPr>
                <w:rStyle w:val="IndexLink"/>
                <w:webHidden/>
              </w:rPr>
              <w:t>3 Формулы и уравнения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508_3689374815" w:tooltip="4 Перечисления">
            <w:r>
              <w:rPr>
                <w:rStyle w:val="IndexLink"/>
                <w:webHidden/>
              </w:rPr>
              <w:t>4 Перечисления</w:t>
              <w:tab/>
              <w:t>8</w:t>
            </w:r>
          </w:hyperlink>
        </w:p>
        <w:p>
          <w:pPr>
            <w:pStyle w:val="TOC3"/>
            <w:tabs>
              <w:tab w:val="clear" w:pos="720"/>
              <w:tab w:val="right" w:pos="9354" w:leader="dot"/>
            </w:tabs>
            <w:rPr/>
          </w:pPr>
          <w:hyperlink w:anchor="__RefHeading___Toc510_3689374815" w:tooltip="4.1 Маркированный список">
            <w:r>
              <w:rPr>
                <w:rStyle w:val="IndexLink"/>
                <w:webHidden/>
              </w:rPr>
              <w:t>4.1 Маркированный список</w:t>
              <w:tab/>
              <w:t>8</w:t>
            </w:r>
          </w:hyperlink>
        </w:p>
        <w:p>
          <w:pPr>
            <w:pStyle w:val="TOC3"/>
            <w:tabs>
              <w:tab w:val="clear" w:pos="720"/>
              <w:tab w:val="right" w:pos="9354" w:leader="dot"/>
            </w:tabs>
            <w:rPr/>
          </w:pPr>
          <w:hyperlink w:anchor="__RefHeading___Toc512_3689374815" w:tooltip="4.2 Нумерованный список">
            <w:r>
              <w:rPr>
                <w:rStyle w:val="IndexLink"/>
                <w:webHidden/>
              </w:rPr>
              <w:t>4.2 Нумерованный список</w:t>
              <w:tab/>
              <w:t>8</w:t>
            </w:r>
          </w:hyperlink>
        </w:p>
        <w:p>
          <w:pPr>
            <w:pStyle w:val="TOC3"/>
            <w:tabs>
              <w:tab w:val="clear" w:pos="720"/>
              <w:tab w:val="right" w:pos="9354" w:leader="dot"/>
            </w:tabs>
            <w:rPr/>
          </w:pPr>
          <w:hyperlink w:anchor="__RefHeading___Toc514_3689374815" w:tooltip="4.3 Вложенные перечисления">
            <w:r>
              <w:rPr>
                <w:rStyle w:val="IndexLink"/>
                <w:webHidden/>
              </w:rPr>
              <w:t>4.3 Вложенные перечисления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516_3689374815" w:tooltip="5 Листинги программного кода">
            <w:r>
              <w:rPr>
                <w:rStyle w:val="IndexLink"/>
                <w:webHidden/>
              </w:rPr>
              <w:t>5 Листинги программного кода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354" w:leader="dot"/>
            </w:tabs>
            <w:rPr/>
          </w:pPr>
          <w:hyperlink w:anchor="__RefHeading___Toc518_3689374815" w:tooltip="6 Цитаты и выделения">
            <w:r>
              <w:rPr>
                <w:rStyle w:val="IndexLink"/>
                <w:webHidden/>
              </w:rPr>
              <w:t>6 Цитаты и выделения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520_3689374815" w:tooltip="ЗАКЛЮЧЕНИЕ">
            <w:r>
              <w:rPr>
                <w:rStyle w:val="IndexLink"/>
                <w:webHidden/>
              </w:rPr>
              <w:t>ЗАКЛЮЧЕНИЕ</w:t>
              <w:tab/>
              <w:t>11</w:t>
            </w:r>
          </w:hyperlink>
        </w:p>
        <w:p>
          <w:pPr>
            <w:pStyle w:val="TOC1"/>
            <w:tabs>
              <w:tab w:val="clear" w:pos="720"/>
              <w:tab w:val="right" w:pos="9354" w:leader="dot"/>
            </w:tabs>
            <w:rPr/>
          </w:pPr>
          <w:hyperlink w:anchor="__RefHeading___Toc522_3689374815" w:tooltip="СПИСОК ИСПОЛЬЗОВАННЫХ ИСТОЧНИКОВ">
            <w:r>
              <w:rPr>
                <w:rStyle w:val="IndexLink"/>
                <w:webHidden/>
              </w:rPr>
              <w:t>СПИСОК ИСПОЛЬЗОВАННЫХ ИСТОЧНИКОВ</w:t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  <w:p>
          <w:pPr>
            <w:sectPr>
              <w:footerReference w:type="even" r:id="rId2"/>
              <w:footerReference w:type="default" r:id="rId3"/>
              <w:footerReference w:type="first" r:id="rId4"/>
              <w:type w:val="nextPage"/>
              <w:pgSz w:w="11906" w:h="16838"/>
              <w:pgMar w:left="1701" w:right="850" w:gutter="0" w:header="0" w:top="1134" w:footer="720" w:bottom="1134"/>
              <w:pgNumType w:fmt="decimal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Heading1"/>
        <w:rPr/>
      </w:pPr>
      <w:bookmarkStart w:id="0" w:name="__RefHeading___Toc492_3689374815"/>
      <w:bookmarkStart w:id="1" w:name="введение"/>
      <w:bookmarkEnd w:id="0"/>
      <w:r>
        <w:rPr/>
        <w:t>ВВЕДЕНИЕ</w:t>
      </w:r>
    </w:p>
    <w:p>
      <w:pPr>
        <w:pStyle w:val="Normal"/>
        <w:rPr/>
      </w:pPr>
      <w:r>
        <w:rPr/>
        <w:t>Актуальность темы исследования обусловлена необходимостью применения современных методов анализа данных. Текст набран шрифтом Times New Roman 14 пт через полтора интервала, выравнивание по ширине, абзацный отступ 1,25 см.</w:t>
      </w:r>
    </w:p>
    <w:p>
      <w:pPr>
        <w:pStyle w:val="BodyText"/>
        <w:rPr/>
      </w:pPr>
      <w:r>
        <w:rPr/>
        <w:t>Настоящий пример демонстрирует оформление всех ключевых структурных элементов ВКР: иллюстраций, таблиц, формул, перечислений, листингов и списка источников.</w:t>
      </w:r>
    </w:p>
    <w:p>
      <w:pPr>
        <w:pStyle w:val="Heading2"/>
        <w:rPr/>
      </w:pPr>
      <w:bookmarkStart w:id="2" w:name="__RefHeading___Toc494_3689374815"/>
      <w:bookmarkStart w:id="3" w:name="иллюстрации-и-подписи"/>
      <w:bookmarkEnd w:id="2"/>
      <w:r>
        <w:rPr/>
        <w:t>1 Иллюстрации и подписи</w:t>
      </w:r>
    </w:p>
    <w:p>
      <w:pPr>
        <w:pStyle w:val="Normal"/>
        <w:rPr/>
      </w:pPr>
      <w:r>
        <w:rPr/>
        <w:t>Каждая глава начинается с новой страницы. Подразделы остаются на той же странице, сразу после текста предыдущего подраздела.</w:t>
      </w:r>
    </w:p>
    <w:p>
      <w:pPr>
        <w:pStyle w:val="Heading3"/>
        <w:rPr/>
      </w:pPr>
      <w:bookmarkStart w:id="4" w:name="__RefHeading___Toc496_3689374815"/>
      <w:bookmarkStart w:id="5" w:name="пример-иллюстрации"/>
      <w:bookmarkEnd w:id="4"/>
      <w:r>
        <w:rPr/>
        <w:t>1.1 Пример иллюстрации</w:t>
      </w:r>
    </w:p>
    <w:p>
      <w:pPr>
        <w:pStyle w:val="Normal"/>
        <w:rPr/>
      </w:pPr>
      <w:r>
        <w:rPr/>
        <w:t>На рисунке 1 представлен пример иллюстрации с подписью под изображением, выровненной по центру по ГОСТ 7.32-2017.</w:t>
      </w:r>
    </w:p>
    <w:p>
      <w:pPr>
        <w:pStyle w:val="CaptionedFigure"/>
        <w:rPr/>
      </w:pPr>
      <w:r>
        <w:rPr/>
        <w:drawing>
          <wp:inline distT="0" distB="0" distL="0" distR="0">
            <wp:extent cx="3558540" cy="2961640"/>
            <wp:effectExtent l="0" t="0" r="0" b="0"/>
            <wp:docPr id="1" name="Picture" descr="Рисунок 1 – Пример иллюст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Рисунок 1 – Пример иллюстрации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296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1 – Пример иллюстрации</w:t>
      </w:r>
    </w:p>
    <w:p>
      <w:pPr>
        <w:pStyle w:val="BodyText"/>
        <w:rPr/>
      </w:pPr>
      <w:bookmarkStart w:id="6" w:name="пример-иллюстрации"/>
      <w:r>
        <w:rPr/>
        <w:t>После иллюстрации продолжается основной текст с обычным абзацным отступом. Согласно п. 4.5.2 требований ИТМО, иллюстрации размещаются под текстом, в котором впервые дана ссылка на них.</w:t>
      </w:r>
      <w:bookmarkEnd w:id="6"/>
    </w:p>
    <w:p>
      <w:pPr>
        <w:pStyle w:val="Heading3"/>
        <w:rPr/>
      </w:pPr>
      <w:bookmarkStart w:id="7" w:name="__RefHeading___Toc498_3689374815"/>
      <w:bookmarkStart w:id="8" w:name="несколько-иллюстраций-подряд"/>
      <w:bookmarkEnd w:id="7"/>
      <w:r>
        <w:rPr/>
        <w:t>1.2 Несколько иллюстраций подряд</w:t>
      </w:r>
    </w:p>
    <w:p>
      <w:pPr>
        <w:pStyle w:val="Normal"/>
        <w:rPr/>
      </w:pPr>
      <w:r>
        <w:rPr/>
        <w:t>На рисунке 2 показан тот же объект в уменьшенном масштабе, что иллюстрирует возможность управления размером изображения.</w:t>
      </w:r>
    </w:p>
    <w:p>
      <w:pPr>
        <w:pStyle w:val="CaptionedFigure"/>
        <w:rPr/>
      </w:pPr>
      <w:r>
        <w:rPr/>
        <w:drawing>
          <wp:inline distT="0" distB="0" distL="0" distR="0">
            <wp:extent cx="1779270" cy="1480820"/>
            <wp:effectExtent l="0" t="0" r="0" b="0"/>
            <wp:docPr id="2" name="Image2" descr="Рисунок 2 – Тот же объект, уменьше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Рисунок 2 – Тот же объект, уменьшенный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70" cy="148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9" w:name="иллюстрации-и-подписи"/>
      <w:bookmarkStart w:id="10" w:name="несколько-иллюстраций-подряд"/>
      <w:r>
        <w:rPr/>
        <w:t>Рисунок 2 – Тот же объект, уменьшенный</w:t>
      </w:r>
      <w:bookmarkEnd w:id="9"/>
      <w:bookmarkEnd w:id="10"/>
    </w:p>
    <w:p>
      <w:pPr>
        <w:pStyle w:val="Heading2"/>
        <w:rPr/>
      </w:pPr>
      <w:bookmarkStart w:id="11" w:name="__RefHeading___Toc500_3689374815"/>
      <w:bookmarkEnd w:id="11"/>
      <w:r>
        <w:rPr/>
        <w:t>2 Таблицы</w:t>
      </w:r>
    </w:p>
    <w:p>
      <w:pPr>
        <w:pStyle w:val="Normal"/>
        <w:rPr/>
      </w:pPr>
      <w:r>
        <w:rPr/>
        <w:t>В соответствии с п. 4.6.3 название таблицы помещают вверху слева над таблицей без абзацного отступа.</w:t>
      </w:r>
    </w:p>
    <w:p>
      <w:pPr>
        <w:pStyle w:val="Heading3"/>
        <w:rPr/>
      </w:pPr>
      <w:bookmarkStart w:id="12" w:name="__RefHeading___Toc502_3689374815"/>
      <w:bookmarkEnd w:id="12"/>
      <w:r>
        <w:rPr/>
        <w:t>2.1 Простая таблица</w:t>
      </w:r>
    </w:p>
    <w:p>
      <w:pPr>
        <w:pStyle w:val="Normal"/>
        <w:rPr/>
      </w:pPr>
      <w:r>
        <w:rPr/>
        <w:t>В таблице 1 приведены характеристики тестируемого алгоритма.</w:t>
      </w:r>
    </w:p>
    <w:p>
      <w:pPr>
        <w:pStyle w:val="TableCaption"/>
        <w:rPr/>
      </w:pPr>
      <w:r>
        <w:rPr/>
        <w:t>Таблица 1 – Характеристики алгоритма</w:t>
      </w:r>
    </w:p>
    <w:tbl>
      <w:tblPr>
        <w:tblStyle w:val="Table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Значение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Единица измерения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Сложность по времени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O(n²)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Сложность по памяти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O(n)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Среднее время работы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12,4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мс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Точность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0,97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—</w:t>
            </w:r>
            <w:bookmarkStart w:id="13" w:name="простая-таблица"/>
            <w:bookmarkEnd w:id="13"/>
          </w:p>
        </w:tc>
      </w:tr>
    </w:tbl>
    <w:p>
      <w:pPr>
        <w:pStyle w:val="Heading3"/>
        <w:rPr/>
      </w:pPr>
      <w:bookmarkStart w:id="14" w:name="__RefHeading___Toc504_3689374815"/>
      <w:bookmarkEnd w:id="14"/>
      <w:r>
        <w:rPr/>
        <w:t>2.2 Таблица с многострочными ячейками</w:t>
      </w:r>
    </w:p>
    <w:p>
      <w:pPr>
        <w:pStyle w:val="Normal"/>
        <w:rPr/>
      </w:pPr>
      <w:r>
        <w:rPr/>
        <w:t>Если текст ячейки занимает несколько строк, он записывается через одинарный межстрочный интервал (п. 4.6.3).</w:t>
      </w:r>
    </w:p>
    <w:p>
      <w:pPr>
        <w:pStyle w:val="TableCaption"/>
        <w:rPr/>
      </w:pPr>
      <w:r>
        <w:rPr/>
        <w:t>Таблица 2 – Сравнение методов классификации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635"/>
        <w:gridCol w:w="6812"/>
        <w:gridCol w:w="908"/>
      </w:tblGrid>
      <w:tr>
        <w:trPr>
          <w:tblHeader w:val="true"/>
        </w:trPr>
        <w:tc>
          <w:tcPr>
            <w:tcW w:w="1635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6812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Описание</w:t>
            </w:r>
          </w:p>
        </w:tc>
        <w:tc>
          <w:tcPr>
            <w:tcW w:w="908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Точность</w:t>
            </w:r>
          </w:p>
        </w:tc>
      </w:tr>
      <w:tr>
        <w:trPr/>
        <w:tc>
          <w:tcPr>
            <w:tcW w:w="1635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Метод опорных векторов</w:t>
            </w:r>
          </w:p>
        </w:tc>
        <w:tc>
          <w:tcPr>
            <w:tcW w:w="6812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Алгоритм классификации, основанный на построении гиперплоскости в признаковом пространстве с максимальным зазором между классами.</w:t>
            </w:r>
          </w:p>
        </w:tc>
        <w:tc>
          <w:tcPr>
            <w:tcW w:w="908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0,93</w:t>
            </w:r>
          </w:p>
        </w:tc>
      </w:tr>
      <w:tr>
        <w:trPr/>
        <w:tc>
          <w:tcPr>
            <w:tcW w:w="1635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Случайный лес</w:t>
            </w:r>
          </w:p>
        </w:tc>
        <w:tc>
          <w:tcPr>
            <w:tcW w:w="6812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Ансамблевый метод, объединяющий предсказания множества деревьев решений путём усреднения или голосования.</w:t>
            </w:r>
          </w:p>
        </w:tc>
        <w:tc>
          <w:tcPr>
            <w:tcW w:w="908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0,95</w:t>
            </w:r>
          </w:p>
        </w:tc>
      </w:tr>
      <w:tr>
        <w:trPr/>
        <w:tc>
          <w:tcPr>
            <w:tcW w:w="1635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Градиентный бустинг</w:t>
            </w:r>
          </w:p>
        </w:tc>
        <w:tc>
          <w:tcPr>
            <w:tcW w:w="6812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Последовательное построение моделей, каждая из которых корректирует ошибки предыдущей.</w:t>
            </w:r>
          </w:p>
        </w:tc>
        <w:tc>
          <w:tcPr>
            <w:tcW w:w="908" w:type="dxa"/>
            <w:tcBorders/>
          </w:tcPr>
          <w:p>
            <w:pPr>
              <w:pStyle w:val="Compact"/>
              <w:widowControl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0,97</w:t>
            </w:r>
            <w:bookmarkStart w:id="15" w:name="таблицы"/>
            <w:bookmarkEnd w:id="15"/>
          </w:p>
        </w:tc>
      </w:tr>
    </w:tbl>
    <w:p>
      <w:pPr>
        <w:pStyle w:val="Heading2"/>
        <w:rPr/>
      </w:pPr>
      <w:bookmarkStart w:id="16" w:name="__RefHeading___Toc506_3689374815"/>
      <w:bookmarkEnd w:id="16"/>
      <w:r>
        <w:rPr/>
        <w:t>3 Формулы и уравнения</w:t>
      </w:r>
    </w:p>
    <w:p>
      <w:pPr>
        <w:pStyle w:val="Normal"/>
        <w:rPr/>
      </w:pPr>
      <w:r>
        <w:rPr/>
        <w:t>Формулы выделяются в отдельную строку с пустой строкой выше и ниже (п. 4.7.1). Номер формулы заключается в круглые скобки и располагается у правого поля.</w:t>
      </w:r>
    </w:p>
    <w:p>
      <w:pPr>
        <w:pStyle w:val="BodyText"/>
        <w:rPr/>
      </w:pPr>
      <w:r>
        <w:rPr/>
        <w:t>Среднеквадратичная ошибка вычисляется по формуле (1):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M</m:t>
          </m:r>
          <m:r>
            <m:t xml:space="preserve">S</m:t>
          </m:r>
          <m:r>
            <m:t xml:space="preserve">E</m:t>
          </m:r>
          <m:r>
            <m:rPr>
              <m:lit/>
              <m:nor/>
            </m:rP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nary>
            <m:naryPr>
              <m:chr m:val="∑"/>
            </m:naryPr>
            <m:sub>
              <m:r>
                <m:t xml:space="preserve">i</m:t>
              </m:r>
              <m:r>
                <m:rPr>
                  <m:lit/>
                  <m:nor/>
                </m:rPr>
                <m:t xml:space="preserve">=</m:t>
              </m:r>
              <m:r>
                <m:t xml:space="preserve">1</m:t>
              </m:r>
            </m:sub>
            <m:sup>
              <m:r>
                <m:t xml:space="preserve">n</m:t>
              </m:r>
            </m:sup>
            <m:e>
              <m:r>
                <m:t xml:space="preserve">(</m:t>
              </m:r>
            </m:e>
          </m:nary>
          <m:sSub>
            <m:e>
              <m:r>
                <m:t xml:space="preserve">y</m:t>
              </m:r>
            </m:e>
            <m:sub>
              <m:r>
                <m:t xml:space="preserve">i</m:t>
              </m:r>
            </m:sub>
          </m:sSub>
          <m:r>
            <m:t xml:space="preserve">−</m:t>
          </m:r>
          <m:sSub>
            <m:e>
              <m:acc>
                <m:accPr>
                  <m:chr m:val="^"/>
                </m:accPr>
                <m:e>
                  <m:r>
                    <m:t xml:space="preserve">y</m:t>
                  </m:r>
                </m:e>
              </m:acc>
            </m:e>
            <m:sub>
              <m:r>
                <m:t xml:space="preserve">i</m:t>
              </m:r>
            </m:sub>
          </m:sSub>
          <m:sSup>
            <m:e>
              <m:r>
                <m:t xml:space="preserve">)</m:t>
              </m:r>
            </m:e>
            <m:sup>
              <m:r>
                <m:t xml:space="preserve">2</m:t>
              </m:r>
            </m:sup>
          </m:sSup>
          <m:r>
            <m:t xml:space="preserve">(</m:t>
          </m:r>
          <m:r>
            <m:t xml:space="preserve">1</m:t>
          </m:r>
          <m:r>
            <m:t xml:space="preserve">)</m:t>
          </m:r>
        </m:oMath>
      </m:oMathPara>
    </w:p>
    <w:p>
      <w:pPr>
        <w:pStyle w:val="Normal"/>
        <w:rPr/>
      </w:pPr>
      <w:r>
        <w:rPr/>
        <w:t xml:space="preserve">где </w:t>
      </w:r>
      <w:r>
        <w:rPr/>
      </w:r>
      <m:oMath xmlns:m="http://schemas.openxmlformats.org/officeDocument/2006/math">
        <m:r>
          <m:t xml:space="preserve">n</m:t>
        </m:r>
      </m:oMath>
      <w:r>
        <w:rPr/>
        <w:t xml:space="preserve"> — количество наблюдений,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i</m:t>
            </m:r>
          </m:sub>
        </m:sSub>
      </m:oMath>
      <w:r>
        <w:rPr/>
        <w:t xml:space="preserve"> — истинное значение, </w:t>
      </w:r>
      <w:r>
        <w:rPr/>
      </w:r>
      <m:oMath xmlns:m="http://schemas.openxmlformats.org/officeDocument/2006/math">
        <m:sSub>
          <m:e>
            <m:acc>
              <m:accPr>
                <m:chr m:val="^"/>
              </m:accPr>
              <m:e>
                <m:r>
                  <m:t xml:space="preserve">y</m:t>
                </m:r>
              </m:e>
            </m:acc>
          </m:e>
          <m:sub>
            <m:r>
              <m:t xml:space="preserve">i</m:t>
            </m:r>
          </m:sub>
        </m:sSub>
      </m:oMath>
      <w:r>
        <w:rPr/>
        <w:t xml:space="preserve"> — предсказанное значение.</w:t>
      </w:r>
    </w:p>
    <w:p>
      <w:pPr>
        <w:pStyle w:val="BodyText"/>
        <w:rPr/>
      </w:pPr>
      <w:r>
        <w:rPr/>
        <w:t>Точность модели определяется как отношение числа верных предсказаний к общему числу наблюдений (формула 2):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A</m:t>
          </m:r>
          <m:r>
            <m:t xml:space="preserve">c</m:t>
          </m:r>
          <m:r>
            <m:t xml:space="preserve">c</m:t>
          </m:r>
          <m:r>
            <m:t xml:space="preserve">u</m:t>
          </m:r>
          <m:r>
            <m:t xml:space="preserve">r</m:t>
          </m:r>
          <m:r>
            <m:t xml:space="preserve">a</m:t>
          </m:r>
          <m:r>
            <m:t xml:space="preserve">c</m:t>
          </m:r>
          <m:r>
            <m:t xml:space="preserve">y</m:t>
          </m:r>
          <m:r>
            <m:rPr>
              <m:lit/>
              <m:nor/>
            </m:rPr>
            <m:t xml:space="preserve">=</m:t>
          </m:r>
          <m:f>
            <m:num>
              <m:r>
                <m:t xml:space="preserve">T</m:t>
              </m:r>
              <m:r>
                <m:t xml:space="preserve">P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T</m:t>
              </m:r>
              <m:r>
                <m:t xml:space="preserve">N</m:t>
              </m:r>
            </m:num>
            <m:den>
              <m:r>
                <m:t xml:space="preserve">T</m:t>
              </m:r>
              <m:r>
                <m:t xml:space="preserve">P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T</m:t>
              </m:r>
              <m:r>
                <m:t xml:space="preserve">N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F</m:t>
              </m:r>
              <m:r>
                <m:t xml:space="preserve">P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F</m:t>
              </m:r>
              <m:r>
                <m:t xml:space="preserve">N</m:t>
              </m:r>
            </m:den>
          </m:f>
          <m:r>
            <m:t xml:space="preserve">(</m:t>
          </m:r>
          <m:r>
            <m:t xml:space="preserve">2</m:t>
          </m:r>
          <m:r>
            <m:t xml:space="preserve">)</m:t>
          </m:r>
        </m:oMath>
      </m:oMathPara>
    </w:p>
    <w:p>
      <w:pPr>
        <w:pStyle w:val="Normal"/>
        <w:rPr/>
      </w:pPr>
      <w:r>
        <w:rPr/>
        <w:t xml:space="preserve">где </w:t>
      </w:r>
      <w:r>
        <w:rPr/>
      </w:r>
      <m:oMath xmlns:m="http://schemas.openxmlformats.org/officeDocument/2006/math">
        <m:r>
          <m:t xml:space="preserve">T</m:t>
        </m:r>
        <m:r>
          <m:t xml:space="preserve">P</m:t>
        </m:r>
      </m:oMath>
      <w:r>
        <w:rPr/>
        <w:t xml:space="preserve"> — истинно положительные, </w:t>
      </w:r>
      <w:r>
        <w:rPr/>
      </w:r>
      <m:oMath xmlns:m="http://schemas.openxmlformats.org/officeDocument/2006/math">
        <m:r>
          <m:t xml:space="preserve">T</m:t>
        </m:r>
        <m:r>
          <m:t xml:space="preserve">N</m:t>
        </m:r>
      </m:oMath>
      <w:r>
        <w:rPr/>
        <w:t xml:space="preserve"> — истинно отрицательные, </w:t>
      </w:r>
      <w:r>
        <w:rPr/>
      </w:r>
      <m:oMath xmlns:m="http://schemas.openxmlformats.org/officeDocument/2006/math">
        <m:r>
          <m:t xml:space="preserve">F</m:t>
        </m:r>
        <m:r>
          <m:t xml:space="preserve">P</m:t>
        </m:r>
      </m:oMath>
      <w:r>
        <w:rPr/>
        <w:t xml:space="preserve"> — ложно положительные, </w:t>
      </w:r>
      <w:r>
        <w:rPr/>
      </w:r>
      <m:oMath xmlns:m="http://schemas.openxmlformats.org/officeDocument/2006/math">
        <m:r>
          <m:t xml:space="preserve">F</m:t>
        </m:r>
        <m:r>
          <m:t xml:space="preserve">N</m:t>
        </m:r>
      </m:oMath>
      <w:r>
        <w:rPr/>
        <w:t xml:space="preserve"> — ложно отрицательные результаты.</w:t>
      </w:r>
    </w:p>
    <w:p>
      <w:pPr>
        <w:pStyle w:val="BodyText"/>
        <w:rPr/>
      </w:pPr>
      <w:r>
        <w:rPr/>
        <w:t xml:space="preserve">Также можно использовать встроенные в строку формулы, например </w:t>
      </w:r>
      <w:r>
        <w:rPr/>
      </w:r>
      <m:oMath xmlns:m="http://schemas.openxmlformats.org/officeDocument/2006/math">
        <m:r>
          <m:t xml:space="preserve">E</m:t>
        </m:r>
        <m:r>
          <m:rPr>
            <m:lit/>
            <m:nor/>
          </m:rPr>
          <m:t xml:space="preserve">=</m:t>
        </m:r>
        <m:r>
          <m:t xml:space="preserve">m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/>
        <w:t xml:space="preserve">, или сложные выражения вида </w:t>
      </w:r>
      <w:r>
        <w:rPr/>
      </w:r>
      <m:oMath xmlns:m="http://schemas.openxmlformats.org/officeDocument/2006/math">
        <m:r>
          <m:t xml:space="preserve">σ</m:t>
        </m:r>
        <m:r>
          <m:rPr>
            <m:lit/>
            <m:nor/>
          </m:rPr>
          <m:t xml:space="preserve">=</m:t>
        </m:r>
        <m:rad>
          <m:radPr>
            <m:degHide m:val="1"/>
          </m:radPr>
          <m:deg/>
          <m:e>
            <m:f>
              <m:num>
                <m:r>
                  <m:t xml:space="preserve">1</m:t>
                </m:r>
              </m:num>
              <m:den>
                <m:r>
                  <m:t xml:space="preserve">N</m:t>
                </m:r>
              </m:den>
            </m:f>
            <m:nary>
              <m:naryPr>
                <m:chr m:val="∑"/>
              </m:naryPr>
              <m:sub>
                <m:r>
                  <m:t xml:space="preserve">i</m:t>
                </m:r>
                <m:r>
                  <m:rPr>
                    <m:lit/>
                    <m:nor/>
                  </m:rPr>
                  <m:t xml:space="preserve">=</m:t>
                </m:r>
                <m:r>
                  <m:t xml:space="preserve">1</m:t>
                </m:r>
              </m:sub>
              <m:sup>
                <m:r>
                  <m:t xml:space="preserve">N</m:t>
                </m:r>
              </m:sup>
              <m:e>
                <m:r>
                  <m:t xml:space="preserve">(</m:t>
                </m:r>
              </m:e>
            </m:nary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  <m:r>
              <m:t xml:space="preserve">−</m:t>
            </m:r>
            <m:r>
              <m:t xml:space="preserve">μ</m:t>
            </m:r>
            <m:sSup>
              <m:e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rPr/>
        <w:t>.</w:t>
      </w:r>
    </w:p>
    <w:p>
      <w:pPr>
        <w:pStyle w:val="Heading2"/>
        <w:rPr/>
      </w:pPr>
      <w:bookmarkStart w:id="17" w:name="__RefHeading___Toc508_3689374815"/>
      <w:bookmarkStart w:id="18" w:name="перечисления"/>
      <w:bookmarkEnd w:id="17"/>
      <w:r>
        <w:rPr/>
        <w:t>4 Перечисления</w:t>
      </w:r>
    </w:p>
    <w:p>
      <w:pPr>
        <w:pStyle w:val="Normal"/>
        <w:rPr/>
      </w:pPr>
      <w:r>
        <w:rPr/>
        <w:t>Перечисления приводятся с абзацного отступа в столбик (п. 4.4 ГОСТ 7.32).</w:t>
      </w:r>
    </w:p>
    <w:p>
      <w:pPr>
        <w:pStyle w:val="Heading3"/>
        <w:rPr/>
      </w:pPr>
      <w:bookmarkStart w:id="19" w:name="__RefHeading___Toc510_3689374815"/>
      <w:bookmarkStart w:id="20" w:name="маркированный-список"/>
      <w:bookmarkEnd w:id="19"/>
      <w:r>
        <w:rPr/>
        <w:t>4.1 Маркированный список</w:t>
      </w:r>
    </w:p>
    <w:p>
      <w:pPr>
        <w:pStyle w:val="Normal"/>
        <w:rPr/>
      </w:pPr>
      <w:r>
        <w:rPr/>
        <w:t>Информационно-сервисная служба включает следующие модули:</w:t>
      </w:r>
    </w:p>
    <w:p>
      <w:pPr>
        <w:pStyle w:val="Compact"/>
        <w:numPr>
          <w:ilvl w:val="0"/>
          <w:numId w:val="7"/>
        </w:numPr>
        <w:rPr/>
      </w:pPr>
      <w:r>
        <w:rPr/>
        <w:t>удалённый заказ,</w:t>
      </w:r>
    </w:p>
    <w:p>
      <w:pPr>
        <w:pStyle w:val="Compact"/>
        <w:numPr>
          <w:ilvl w:val="0"/>
          <w:numId w:val="7"/>
        </w:numPr>
        <w:rPr/>
      </w:pPr>
      <w:r>
        <w:rPr/>
        <w:t>виртуальная справочная служба,</w:t>
      </w:r>
    </w:p>
    <w:p>
      <w:pPr>
        <w:pStyle w:val="Compact"/>
        <w:numPr>
          <w:ilvl w:val="0"/>
          <w:numId w:val="7"/>
        </w:numPr>
        <w:rPr/>
      </w:pPr>
      <w:bookmarkStart w:id="21" w:name="маркированный-список"/>
      <w:r>
        <w:rPr/>
        <w:t>виртуальный читальный зал.</w:t>
      </w:r>
      <w:bookmarkEnd w:id="21"/>
    </w:p>
    <w:p>
      <w:pPr>
        <w:pStyle w:val="Heading3"/>
        <w:rPr/>
      </w:pPr>
      <w:bookmarkStart w:id="22" w:name="__RefHeading___Toc512_3689374815"/>
      <w:bookmarkStart w:id="23" w:name="нумерованный-список"/>
      <w:bookmarkEnd w:id="22"/>
      <w:r>
        <w:rPr/>
        <w:t>4.2 Нумерованный список</w:t>
      </w:r>
    </w:p>
    <w:p>
      <w:pPr>
        <w:pStyle w:val="Normal"/>
        <w:rPr/>
      </w:pPr>
      <w:r>
        <w:rPr/>
        <w:t>Этапы работы по оцифровке:</w:t>
      </w:r>
    </w:p>
    <w:p>
      <w:pPr>
        <w:pStyle w:val="Compact"/>
        <w:numPr>
          <w:ilvl w:val="0"/>
          <w:numId w:val="14"/>
        </w:numPr>
        <w:rPr/>
      </w:pPr>
      <w:r>
        <w:rPr/>
        <w:t>первичный осмотр и структурирование исходных материалов,</w:t>
      </w:r>
    </w:p>
    <w:p>
      <w:pPr>
        <w:pStyle w:val="Compact"/>
        <w:numPr>
          <w:ilvl w:val="0"/>
          <w:numId w:val="8"/>
        </w:numPr>
        <w:rPr/>
      </w:pPr>
      <w:r>
        <w:rPr/>
        <w:t>сканирование документов,</w:t>
      </w:r>
    </w:p>
    <w:p>
      <w:pPr>
        <w:pStyle w:val="Compact"/>
        <w:numPr>
          <w:ilvl w:val="0"/>
          <w:numId w:val="8"/>
        </w:numPr>
        <w:rPr/>
      </w:pPr>
      <w:r>
        <w:rPr/>
        <w:t>обработка и проверка полученных образов,</w:t>
      </w:r>
    </w:p>
    <w:p>
      <w:pPr>
        <w:pStyle w:val="Compact"/>
        <w:numPr>
          <w:ilvl w:val="0"/>
          <w:numId w:val="8"/>
        </w:numPr>
        <w:rPr/>
      </w:pPr>
      <w:r>
        <w:rPr/>
        <w:t>структурирование оцифрованного массива,</w:t>
      </w:r>
    </w:p>
    <w:p>
      <w:pPr>
        <w:pStyle w:val="Compact"/>
        <w:numPr>
          <w:ilvl w:val="0"/>
          <w:numId w:val="8"/>
        </w:numPr>
        <w:rPr/>
      </w:pPr>
      <w:bookmarkStart w:id="24" w:name="нумерованный-список"/>
      <w:r>
        <w:rPr/>
        <w:t>выходной контроль качества.</w:t>
      </w:r>
      <w:bookmarkEnd w:id="24"/>
    </w:p>
    <w:p>
      <w:pPr>
        <w:pStyle w:val="Heading3"/>
        <w:rPr/>
      </w:pPr>
      <w:bookmarkStart w:id="25" w:name="__RefHeading___Toc514_3689374815"/>
      <w:bookmarkStart w:id="26" w:name="вложенные-перечисления"/>
      <w:bookmarkEnd w:id="25"/>
      <w:r>
        <w:rPr/>
        <w:t>4.3 Вложенные перечисления</w:t>
      </w:r>
    </w:p>
    <w:p>
      <w:pPr>
        <w:pStyle w:val="Normal"/>
        <w:rPr/>
      </w:pPr>
      <w:r>
        <w:rPr/>
        <w:t>Разрабатываемое устройство применяется в различных отраслях:</w:t>
      </w:r>
    </w:p>
    <w:p>
      <w:pPr>
        <w:pStyle w:val="Compact"/>
        <w:numPr>
          <w:ilvl w:val="0"/>
          <w:numId w:val="7"/>
        </w:numPr>
        <w:rPr/>
      </w:pPr>
      <w:r>
        <w:rPr/>
        <w:t>в машиностроении:</w:t>
      </w:r>
    </w:p>
    <w:p>
      <w:pPr>
        <w:pStyle w:val="Compact"/>
        <w:numPr>
          <w:ilvl w:val="1"/>
          <w:numId w:val="15"/>
        </w:numPr>
        <w:rPr/>
      </w:pPr>
      <w:r>
        <w:rPr/>
        <w:t>для очистки отливок от формовочной смеси;</w:t>
      </w:r>
    </w:p>
    <w:p>
      <w:pPr>
        <w:pStyle w:val="Compact"/>
        <w:numPr>
          <w:ilvl w:val="1"/>
          <w:numId w:val="8"/>
        </w:numPr>
        <w:rPr/>
      </w:pPr>
      <w:r>
        <w:rPr/>
        <w:t>для очистки лопаток турбин авиационных двигателей;</w:t>
      </w:r>
    </w:p>
    <w:p>
      <w:pPr>
        <w:pStyle w:val="Compact"/>
        <w:numPr>
          <w:ilvl w:val="1"/>
          <w:numId w:val="8"/>
        </w:numPr>
        <w:rPr/>
      </w:pPr>
      <w:r>
        <w:rPr/>
        <w:t>для холодной штамповки из листа;</w:t>
      </w:r>
    </w:p>
    <w:p>
      <w:pPr>
        <w:pStyle w:val="Compact"/>
        <w:numPr>
          <w:ilvl w:val="0"/>
          <w:numId w:val="7"/>
        </w:numPr>
        <w:rPr/>
      </w:pPr>
      <w:r>
        <w:rPr/>
        <w:t>в ремонте техники:</w:t>
      </w:r>
    </w:p>
    <w:p>
      <w:pPr>
        <w:pStyle w:val="Compact"/>
        <w:numPr>
          <w:ilvl w:val="1"/>
          <w:numId w:val="16"/>
        </w:numPr>
        <w:rPr/>
      </w:pPr>
      <w:r>
        <w:rPr/>
        <w:t>устранение наслоений на внутренних стенках труб;</w:t>
      </w:r>
    </w:p>
    <w:p>
      <w:pPr>
        <w:pStyle w:val="Compact"/>
        <w:numPr>
          <w:ilvl w:val="1"/>
          <w:numId w:val="8"/>
        </w:numPr>
        <w:rPr/>
      </w:pPr>
      <w:bookmarkStart w:id="27" w:name="перечисления"/>
      <w:bookmarkStart w:id="28" w:name="вложенные-перечисления"/>
      <w:r>
        <w:rPr/>
        <w:t>очистка каналов и отверстий небольшого диаметра.</w:t>
      </w:r>
      <w:bookmarkEnd w:id="27"/>
      <w:bookmarkEnd w:id="28"/>
    </w:p>
    <w:p>
      <w:pPr>
        <w:pStyle w:val="Heading2"/>
        <w:rPr/>
      </w:pPr>
      <w:bookmarkStart w:id="29" w:name="__RefHeading___Toc516_3689374815"/>
      <w:bookmarkStart w:id="30" w:name="листинги-программного-кода"/>
      <w:bookmarkEnd w:id="29"/>
      <w:r>
        <w:rPr/>
        <w:t>5 Листинги программного кода</w:t>
      </w:r>
    </w:p>
    <w:p>
      <w:pPr>
        <w:pStyle w:val="Normal"/>
        <w:rPr/>
      </w:pPr>
      <w:r>
        <w:rPr/>
        <w:t>Согласно п. 4.11.1 листинги обычно размещаются в приложениях, однако краткие фрагменты кода допустимо приводить непосредственно в основном тексте. Листинги выравниваются по левому краю, без выравнивания по ширине.</w:t>
      </w:r>
    </w:p>
    <w:p>
      <w:pPr>
        <w:pStyle w:val="BodyText"/>
        <w:rPr/>
      </w:pPr>
      <w:r>
        <w:rPr/>
        <w:t>Пример на Python:</w:t>
      </w:r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mean_squared_error(y_true, y_pred):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"""Compute MSE between two equal-length sequences."""</w:t>
      </w:r>
      <w:r>
        <w:rPr/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(y_true)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 xml:space="preserve">((a </w:t>
      </w:r>
      <w:r>
        <w:rPr>
          <w:rStyle w:val="OperatorTok"/>
        </w:rPr>
        <w:t>-</w:t>
      </w:r>
      <w:r>
        <w:rPr>
          <w:rStyle w:val="NormalTok"/>
        </w:rPr>
        <w:t xml:space="preserve"> b)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a, b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 xml:space="preserve">(y_true, y_pred)) </w:t>
      </w:r>
      <w:r>
        <w:rPr>
          <w:rStyle w:val="OperatorTok"/>
        </w:rPr>
        <w:t>/</w:t>
      </w:r>
      <w:r>
        <w:rPr>
          <w:rStyle w:val="NormalTok"/>
        </w:rPr>
        <w:t xml:space="preserve"> n</w:t>
      </w:r>
      <w:r>
        <w:rPr/>
        <w:br/>
        <w:br/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y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2.0</w:t>
      </w:r>
      <w:r>
        <w:rPr>
          <w:rStyle w:val="NormalTok"/>
        </w:rPr>
        <w:t xml:space="preserve">, </w:t>
      </w:r>
      <w:r>
        <w:rPr>
          <w:rStyle w:val="FloatTok"/>
        </w:rPr>
        <w:t>3.0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p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1.1</w:t>
      </w:r>
      <w:r>
        <w:rPr>
          <w:rStyle w:val="NormalTok"/>
        </w:rPr>
        <w:t xml:space="preserve">, </w:t>
      </w:r>
      <w:r>
        <w:rPr>
          <w:rStyle w:val="FloatTok"/>
        </w:rPr>
        <w:t>1.9</w:t>
      </w:r>
      <w:r>
        <w:rPr>
          <w:rStyle w:val="NormalTok"/>
        </w:rPr>
        <w:t xml:space="preserve">, </w:t>
      </w:r>
      <w:r>
        <w:rPr>
          <w:rStyle w:val="FloatTok"/>
        </w:rPr>
        <w:t>3.2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f"MSE = </w:t>
      </w:r>
      <w:r>
        <w:rPr>
          <w:rStyle w:val="SpecialCharTok"/>
        </w:rPr>
        <w:t>{</w:t>
      </w:r>
      <w:r>
        <w:rPr>
          <w:rStyle w:val="NormalTok"/>
        </w:rPr>
        <w:t>mean_squared_error(y, p)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>
      <w:pPr>
        <w:pStyle w:val="Normal"/>
        <w:rPr/>
      </w:pPr>
      <w:r>
        <w:rPr/>
        <w:t>Пример на Bash:</w:t>
      </w:r>
    </w:p>
    <w:p>
      <w:pPr>
        <w:pStyle w:val="SourceCode"/>
        <w:rPr/>
      </w:pPr>
      <w:r>
        <w:rPr>
          <w:rStyle w:val="CommentTok"/>
        </w:rPr>
        <w:t># Сборка отчёта в DOCX</w:t>
      </w:r>
      <w:r>
        <w:rPr/>
        <w:br/>
      </w:r>
      <w:r>
        <w:rPr>
          <w:rStyle w:val="ExtensionTok"/>
        </w:rPr>
        <w:t>./convert.sh</w:t>
      </w:r>
      <w:r>
        <w:rPr>
          <w:rStyle w:val="NormalTok"/>
        </w:rPr>
        <w:t xml:space="preserve"> example.md example.docx</w:t>
      </w:r>
      <w:bookmarkEnd w:id="30"/>
    </w:p>
    <w:p>
      <w:pPr>
        <w:pStyle w:val="Heading2"/>
        <w:rPr/>
      </w:pPr>
      <w:bookmarkStart w:id="31" w:name="__RefHeading___Toc518_3689374815"/>
      <w:bookmarkStart w:id="32" w:name="цитаты-и-выделения"/>
      <w:bookmarkEnd w:id="31"/>
      <w:r>
        <w:rPr/>
        <w:t>6 Цитаты и выделения</w:t>
      </w:r>
    </w:p>
    <w:p>
      <w:pPr>
        <w:pStyle w:val="Normal"/>
        <w:rPr/>
      </w:pPr>
      <w:r>
        <w:rPr/>
        <w:t>Цитата оформляется отдельным абзацем:</w:t>
      </w:r>
    </w:p>
    <w:p>
      <w:pPr>
        <w:pStyle w:val="Normal"/>
        <w:rPr/>
      </w:pPr>
      <w:r>
        <w:rPr/>
        <w:t>«Текст ВКР должен соответствовать современным требованиям к электронному набору текста» — Требования к ВКР Университета ИТМО, п. 2.6.</w:t>
      </w:r>
    </w:p>
    <w:p>
      <w:pPr>
        <w:pStyle w:val="Normal"/>
        <w:spacing w:before="0" w:after="0"/>
        <w:rPr/>
        <w:sectPr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1701" w:right="850" w:gutter="0" w:header="0" w:top="1134" w:footer="720" w:bottom="1134"/>
          <w:pgNumType w:fmt="decimal"/>
          <w:formProt w:val="false"/>
          <w:textDirection w:val="lrTb"/>
          <w:docGrid w:type="default" w:linePitch="360" w:charSpace="0"/>
        </w:sectPr>
      </w:pPr>
      <w:r>
        <w:rPr/>
        <w:t xml:space="preserve">В тексте допускается выделение </w:t>
      </w:r>
      <w:r>
        <w:rPr>
          <w:b/>
          <w:bCs/>
        </w:rPr>
        <w:t>полужирным шрифтом</w:t>
      </w:r>
      <w:r>
        <w:rPr/>
        <w:t xml:space="preserve"> для акцентов, </w:t>
      </w:r>
      <w:r>
        <w:rPr>
          <w:i/>
          <w:iCs/>
        </w:rPr>
        <w:t>курсивом</w:t>
      </w:r>
      <w:r>
        <w:rPr/>
        <w:t xml:space="preserve"> для обозначения объектов и терминов, а также моноширинным шрифтом для имён файлов, команд и переменных.</w:t>
      </w:r>
      <w:bookmarkEnd w:id="1"/>
      <w:bookmarkEnd w:id="32"/>
    </w:p>
    <w:p>
      <w:pPr>
        <w:pStyle w:val="Heading1"/>
        <w:rPr/>
      </w:pPr>
      <w:bookmarkStart w:id="33" w:name="__RefHeading___Toc520_3689374815"/>
      <w:bookmarkStart w:id="34" w:name="заключение"/>
      <w:bookmarkEnd w:id="33"/>
      <w:r>
        <w:rPr/>
        <w:t>ЗАКЛЮЧЕНИЕ</w:t>
      </w:r>
    </w:p>
    <w:p>
      <w:pPr>
        <w:pStyle w:val="Normal"/>
        <w:spacing w:before="0" w:after="0"/>
        <w:rPr/>
        <w:sectPr>
          <w:footerReference w:type="even" r:id="rId10"/>
          <w:footerReference w:type="default" r:id="rId11"/>
          <w:footerReference w:type="first" r:id="rId12"/>
          <w:type w:val="nextPage"/>
          <w:pgSz w:w="11906" w:h="16838"/>
          <w:pgMar w:left="1701" w:right="850" w:gutter="0" w:header="0" w:top="1134" w:footer="720" w:bottom="1134"/>
          <w:pgNumType w:fmt="decimal"/>
          <w:formProt w:val="false"/>
          <w:textDirection w:val="lrTb"/>
          <w:docGrid w:type="default" w:linePitch="360" w:charSpace="0"/>
        </w:sectPr>
      </w:pPr>
      <w:bookmarkStart w:id="35" w:name="заключение"/>
      <w:r>
        <w:rPr/>
        <w:t>В работе продемонстрировано оформление всех типовых структурных элементов ВКР: иллюстраций, таблиц, формул, перечислений, листингов, цитат и списка использованных источников. Полученный документ соответствует требованиям ЛНАОБУЧ-СМК-05-05-2020.</w:t>
      </w:r>
      <w:bookmarkEnd w:id="35"/>
    </w:p>
    <w:p>
      <w:pPr>
        <w:pStyle w:val="Heading1"/>
        <w:rPr/>
      </w:pPr>
      <w:bookmarkStart w:id="36" w:name="__RefHeading___Toc522_3689374815"/>
      <w:bookmarkStart w:id="37" w:name="список-использованных-источников"/>
      <w:bookmarkEnd w:id="36"/>
      <w:r>
        <w:rPr/>
        <w:t>СПИСОК ИСПОЛЬЗОВАННЫХ ИСТОЧНИКОВ</w:t>
      </w:r>
    </w:p>
    <w:p>
      <w:pPr>
        <w:pStyle w:val="Compact"/>
        <w:numPr>
          <w:ilvl w:val="0"/>
          <w:numId w:val="17"/>
        </w:numPr>
        <w:rPr/>
      </w:pPr>
      <w:r>
        <w:rPr/>
        <w:t>ГОСТ 7.32-2017 СИБИД. Отчет о научно-исследовательской работе. Структура и правила оформления. – М.: Стандартинформ, 2017. – 32 с.</w:t>
      </w:r>
    </w:p>
    <w:p>
      <w:pPr>
        <w:pStyle w:val="Compact"/>
        <w:numPr>
          <w:ilvl w:val="0"/>
          <w:numId w:val="8"/>
        </w:numPr>
        <w:rPr/>
      </w:pPr>
      <w:r>
        <w:rPr/>
        <w:t>ГОСТ Р 7.0.5-2008 СИБИД. Библиографическая ссылка. Общие требования и правила составления. – М.: Стандартинформ, 2008. – 23 с.</w:t>
      </w:r>
    </w:p>
    <w:p>
      <w:pPr>
        <w:pStyle w:val="Compact"/>
        <w:numPr>
          <w:ilvl w:val="0"/>
          <w:numId w:val="8"/>
        </w:numPr>
        <w:rPr/>
      </w:pPr>
      <w:r>
        <w:rPr/>
        <w:t>Антопольский А.Б., Белоозеров В.Н. Процедура формирования макротезауруса политематических информационных систем // Классификация и кодирование. – 1976. – N 1 (57). – С. 25–29.</w:t>
      </w:r>
    </w:p>
    <w:p>
      <w:pPr>
        <w:pStyle w:val="Compact"/>
        <w:numPr>
          <w:ilvl w:val="0"/>
          <w:numId w:val="8"/>
        </w:numPr>
        <w:rPr/>
      </w:pPr>
      <w:r>
        <w:rPr/>
        <w:t>DeRidder J.L. The immediate prospects for the application of ontologies in digital libraries // Knowledge Organization. – 2007. – Vol. 34, No. 4. – P. 227–246.</w:t>
      </w:r>
    </w:p>
    <w:p>
      <w:pPr>
        <w:pStyle w:val="Compact"/>
        <w:numPr>
          <w:ilvl w:val="0"/>
          <w:numId w:val="8"/>
        </w:numPr>
        <w:rPr/>
      </w:pPr>
      <w:bookmarkStart w:id="38" w:name="список-использованных-источников"/>
      <w:r>
        <w:rPr/>
        <w:t>Требования к выпускным квалификационным работам: ЛНАОБУЧ-СМК-05-05-2020. – СПб.: Университет ИТМО, 2020. – 35 с.</w:t>
      </w:r>
      <w:bookmarkEnd w:id="38"/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1701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nos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Arimo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8"/>
    <w:lvlOverride w:ilvl="0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</w:num>
  <w:num w:numId="17">
    <w:abstractNumId w:val="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 w:percent="20"/>
  <w:embedSystemFonts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keepNext w:val="false"/>
      <w:pageBreakBefore w:val="false"/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b w:val="false"/>
      <w:i w:val="false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ageBreakBefore/>
      <w:spacing w:lineRule="auto" w:line="360" w:before="0" w:after="360"/>
      <w:ind w:hanging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pageBreakBefore/>
      <w:spacing w:lineRule="auto" w:line="360" w:before="0" w:after="240"/>
      <w:ind w:firstLine="709"/>
      <w:jc w:val="start"/>
      <w:outlineLvl w:val="1"/>
    </w:pPr>
    <w:rPr>
      <w:rFonts w:ascii="Times New Roman" w:hAnsi="Times New Roman" w:eastAsia="Times New Roman" w:cs="Times New Roman"/>
      <w:b/>
      <w:bCs/>
      <w:i w:val="false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pageBreakBefore w:val="false"/>
      <w:spacing w:lineRule="auto" w:line="360" w:before="0" w:after="120"/>
      <w:ind w:firstLine="709"/>
      <w:jc w:val="start"/>
      <w:outlineLvl w:val="2"/>
    </w:pPr>
    <w:rPr>
      <w:rFonts w:ascii="Times New Roman" w:hAnsi="Times New Roman" w:eastAsia="Times New Roman" w:cs="Times New Roman"/>
      <w:b/>
      <w:bCs/>
      <w:i w:val="false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pageBreakBefore w:val="false"/>
      <w:spacing w:lineRule="auto" w:line="360" w:before="0" w:after="120"/>
      <w:ind w:firstLine="709"/>
      <w:jc w:val="start"/>
      <w:outlineLvl w:val="3"/>
    </w:pPr>
    <w:rPr>
      <w:rFonts w:ascii="Times New Roman" w:hAnsi="Times New Roman" w:eastAsia="Times New Roman" w:cs="Times New Roman"/>
      <w:b/>
      <w:bCs/>
      <w:i w:val="false"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KeywordTok" w:customStyle="1">
    <w:name w:val="KeywordTok"/>
    <w:qFormat/>
    <w:rPr>
      <w:b/>
      <w:color w:val="007020"/>
    </w:rPr>
  </w:style>
  <w:style w:type="character" w:styleId="DataTypeTok" w:customStyle="1">
    <w:name w:val="DataTypeTok"/>
    <w:qFormat/>
    <w:rPr>
      <w:color w:val="902000"/>
    </w:rPr>
  </w:style>
  <w:style w:type="character" w:styleId="DecValTok" w:customStyle="1">
    <w:name w:val="DecValTok"/>
    <w:qFormat/>
    <w:rPr>
      <w:color w:val="40A070"/>
    </w:rPr>
  </w:style>
  <w:style w:type="character" w:styleId="BaseNTok" w:customStyle="1">
    <w:name w:val="BaseNTok"/>
    <w:qFormat/>
    <w:rPr>
      <w:color w:val="40A070"/>
    </w:rPr>
  </w:style>
  <w:style w:type="character" w:styleId="FloatTok" w:customStyle="1">
    <w:name w:val="FloatTok"/>
    <w:qFormat/>
    <w:rPr>
      <w:color w:val="40A070"/>
    </w:rPr>
  </w:style>
  <w:style w:type="character" w:styleId="ConstantTok" w:customStyle="1">
    <w:name w:val="ConstantTok"/>
    <w:qFormat/>
    <w:rPr>
      <w:color w:val="880000"/>
    </w:rPr>
  </w:style>
  <w:style w:type="character" w:styleId="CharTok" w:customStyle="1">
    <w:name w:val="CharTok"/>
    <w:qFormat/>
    <w:rPr>
      <w:color w:val="4070A0"/>
    </w:rPr>
  </w:style>
  <w:style w:type="character" w:styleId="SpecialCharTok" w:customStyle="1">
    <w:name w:val="SpecialCharTok"/>
    <w:qFormat/>
    <w:rPr>
      <w:color w:val="4070A0"/>
    </w:rPr>
  </w:style>
  <w:style w:type="character" w:styleId="StringTok" w:customStyle="1">
    <w:name w:val="StringTok"/>
    <w:qFormat/>
    <w:rPr>
      <w:color w:val="4070A0"/>
    </w:rPr>
  </w:style>
  <w:style w:type="character" w:styleId="VerbatimStringTok" w:customStyle="1">
    <w:name w:val="VerbatimStringTok"/>
    <w:qFormat/>
    <w:rPr>
      <w:color w:val="4070A0"/>
    </w:rPr>
  </w:style>
  <w:style w:type="character" w:styleId="SpecialStringTok" w:customStyle="1">
    <w:name w:val="SpecialStringTok"/>
    <w:qFormat/>
    <w:rPr>
      <w:color w:val="BB6688"/>
    </w:rPr>
  </w:style>
  <w:style w:type="character" w:styleId="ImportTok" w:customStyle="1">
    <w:name w:val="ImportTok"/>
    <w:qFormat/>
    <w:rPr>
      <w:b/>
      <w:color w:val="008000"/>
    </w:rPr>
  </w:style>
  <w:style w:type="character" w:styleId="CommentTok" w:customStyle="1">
    <w:name w:val="CommentTok"/>
    <w:qFormat/>
    <w:rPr>
      <w:i/>
      <w:color w:val="60A0B0"/>
    </w:rPr>
  </w:style>
  <w:style w:type="character" w:styleId="DocumentationTok" w:customStyle="1">
    <w:name w:val="DocumentationTok"/>
    <w:qFormat/>
    <w:rPr>
      <w:i/>
      <w:color w:val="BA2121"/>
    </w:rPr>
  </w:style>
  <w:style w:type="character" w:styleId="AnnotationTok" w:customStyle="1">
    <w:name w:val="AnnotationTok"/>
    <w:qFormat/>
    <w:rPr>
      <w:b/>
      <w:i/>
      <w:color w:val="60A0B0"/>
    </w:rPr>
  </w:style>
  <w:style w:type="character" w:styleId="CommentVarTok" w:customStyle="1">
    <w:name w:val="CommentVarTok"/>
    <w:qFormat/>
    <w:rPr>
      <w:b/>
      <w:i/>
      <w:color w:val="60A0B0"/>
    </w:rPr>
  </w:style>
  <w:style w:type="character" w:styleId="OtherTok" w:customStyle="1">
    <w:name w:val="OtherTok"/>
    <w:qFormat/>
    <w:rPr>
      <w:color w:val="007020"/>
    </w:rPr>
  </w:style>
  <w:style w:type="character" w:styleId="FunctionTok" w:customStyle="1">
    <w:name w:val="FunctionTok"/>
    <w:qFormat/>
    <w:rPr>
      <w:color w:val="06287E"/>
    </w:rPr>
  </w:style>
  <w:style w:type="character" w:styleId="VariableTok" w:customStyle="1">
    <w:name w:val="VariableTok"/>
    <w:qFormat/>
    <w:rPr>
      <w:color w:val="19177C"/>
    </w:rPr>
  </w:style>
  <w:style w:type="character" w:styleId="ControlFlowTok" w:customStyle="1">
    <w:name w:val="ControlFlowTok"/>
    <w:qFormat/>
    <w:rPr>
      <w:b/>
      <w:color w:val="007020"/>
    </w:rPr>
  </w:style>
  <w:style w:type="character" w:styleId="OperatorTok" w:customStyle="1">
    <w:name w:val="OperatorTok"/>
    <w:qFormat/>
    <w:rPr>
      <w:color w:val="666666"/>
    </w:rPr>
  </w:style>
  <w:style w:type="character" w:styleId="BuiltInTok" w:customStyle="1">
    <w:name w:val="BuiltInTok"/>
    <w:qFormat/>
    <w:rPr>
      <w:color w:val="008000"/>
    </w:rPr>
  </w:style>
  <w:style w:type="character" w:styleId="ExtensionTok" w:customStyle="1">
    <w:name w:val="ExtensionTok"/>
    <w:qFormat/>
    <w:rPr/>
  </w:style>
  <w:style w:type="character" w:styleId="PreprocessorTok" w:customStyle="1">
    <w:name w:val="PreprocessorTok"/>
    <w:qFormat/>
    <w:rPr>
      <w:color w:val="BC7A00"/>
    </w:rPr>
  </w:style>
  <w:style w:type="character" w:styleId="AttributeTok" w:customStyle="1">
    <w:name w:val="AttributeTok"/>
    <w:qFormat/>
    <w:rPr>
      <w:color w:val="7D9029"/>
    </w:rPr>
  </w:style>
  <w:style w:type="character" w:styleId="RegionMarkerTok" w:customStyle="1">
    <w:name w:val="RegionMarkerTok"/>
    <w:qFormat/>
    <w:rPr/>
  </w:style>
  <w:style w:type="character" w:styleId="InformationTok" w:customStyle="1">
    <w:name w:val="InformationTok"/>
    <w:qFormat/>
    <w:rPr>
      <w:b/>
      <w:i/>
      <w:color w:val="60A0B0"/>
    </w:rPr>
  </w:style>
  <w:style w:type="character" w:styleId="WarningTok" w:customStyle="1">
    <w:name w:val="WarningTok"/>
    <w:qFormat/>
    <w:rPr>
      <w:b/>
      <w:i/>
      <w:color w:val="60A0B0"/>
    </w:rPr>
  </w:style>
  <w:style w:type="character" w:styleId="AlertTok" w:customStyle="1">
    <w:name w:val="AlertTok"/>
    <w:qFormat/>
    <w:rPr>
      <w:b/>
      <w:color w:val="FF0000"/>
    </w:rPr>
  </w:style>
  <w:style w:type="character" w:styleId="ErrorTok" w:customStyle="1">
    <w:name w:val="ErrorTok"/>
    <w:qFormat/>
    <w:rPr>
      <w:b/>
      <w:color w:val="FF0000"/>
    </w:rPr>
  </w:style>
  <w:style w:type="character" w:styleId="NormalTok" w:customStyle="1">
    <w:name w:val="NormalTok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mo" w:hAnsi="Arimo" w:eastAsia="Chiron Hei HK ExtraLight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false"/>
      <w:pageBreakBefore w:val="false"/>
      <w:spacing w:lineRule="auto" w:line="360" w:before="120" w:after="120"/>
      <w:ind w:hanging="0"/>
      <w:jc w:val="center"/>
    </w:pPr>
    <w:rPr>
      <w:rFonts w:ascii="Times New Roman" w:hAnsi="Times New Roman" w:eastAsia="Times New Roman" w:cs="Times New Roman"/>
      <w:b w:val="false"/>
      <w:bCs/>
      <w:i w:val="false"/>
      <w:color w:val="000000"/>
      <w:sz w:val="2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false"/>
      <w:pageBreakBefore w:val="false"/>
      <w:pBdr>
        <w:bottom w:val="single" w:sz="8" w:space="4" w:color="4F81BD" w:themeColor="accent1"/>
      </w:pBdr>
      <w:spacing w:lineRule="auto" w:line="360" w:before="0" w:after="480"/>
      <w:ind w:hanging="0"/>
      <w:contextualSpacing/>
      <w:jc w:val="center"/>
    </w:pPr>
    <w:rPr>
      <w:rFonts w:ascii="Times New Roman" w:hAnsi="Times New Roman" w:eastAsia="Times New Roman" w:cs="Times New Roman"/>
      <w:b/>
      <w:i w:val="false"/>
      <w:caps/>
      <w:color w:val="000000"/>
      <w:spacing w:val="5"/>
      <w:kern w:val="2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false"/>
      <w:pageBreakBefore w:val="false"/>
      <w:spacing w:lineRule="auto" w:line="360" w:before="0" w:after="0"/>
      <w:ind w:firstLine="709" w:start="720"/>
      <w:contextualSpacing/>
      <w:jc w:val="both"/>
    </w:pPr>
    <w:rPr>
      <w:rFonts w:ascii="Times New Roman" w:hAnsi="Times New Roman" w:eastAsia="Times New Roman" w:cs="Times New Roman"/>
      <w:b w:val="false"/>
      <w:i w:val="false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eepNext w:val="false"/>
      <w:pageBreakBefore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b w:val="false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 w:val="true"/>
      <w:pageBreakBefore/>
      <w:spacing w:lineRule="auto" w:line="360" w:before="0" w:after="360"/>
      <w:ind w:hanging="0"/>
      <w:jc w:val="center"/>
      <w:outlineLvl w:val="9"/>
    </w:pPr>
    <w:rPr>
      <w:rFonts w:ascii="Times New Roman" w:hAnsi="Times New Roman" w:eastAsia="Times New Roman" w:cs="Times New Roman"/>
      <w:b/>
      <w:i w:val="false"/>
      <w:caps/>
      <w:color w:val="000000"/>
      <w:sz w:val="28"/>
    </w:rPr>
  </w:style>
  <w:style w:type="paragraph" w:styleId="TOC1" w:customStyle="1">
    <w:name w:val="toc 1"/>
    <w:pPr>
      <w:keepNext w:val="false"/>
      <w:pageBreakBefore w:val="false"/>
      <w:widowControl/>
      <w:bidi w:val="0"/>
      <w:spacing w:lineRule="auto" w:line="360" w:before="0" w:after="0"/>
      <w:ind w:hanging="0"/>
      <w:jc w:val="start"/>
    </w:pPr>
    <w:rPr>
      <w:rFonts w:ascii="Times New Roman" w:hAnsi="Times New Roman" w:eastAsia="Times New Roman" w:cs="Times New Roman"/>
      <w:b w:val="false"/>
      <w:i w:val="false"/>
      <w:color w:val="000000"/>
      <w:kern w:val="0"/>
      <w:sz w:val="28"/>
      <w:szCs w:val="22"/>
      <w:lang w:val="en-US" w:eastAsia="en-US" w:bidi="ar-SA"/>
    </w:rPr>
  </w:style>
  <w:style w:type="paragraph" w:styleId="TOC2" w:customStyle="1">
    <w:name w:val="toc 2"/>
    <w:pPr>
      <w:keepNext w:val="false"/>
      <w:pageBreakBefore w:val="false"/>
      <w:widowControl/>
      <w:bidi w:val="0"/>
      <w:spacing w:lineRule="auto" w:line="360" w:before="0" w:after="0"/>
      <w:ind w:hanging="0"/>
      <w:jc w:val="start"/>
    </w:pPr>
    <w:rPr>
      <w:rFonts w:ascii="Times New Roman" w:hAnsi="Times New Roman" w:eastAsia="Times New Roman" w:cs="Times New Roman"/>
      <w:b w:val="false"/>
      <w:i w:val="false"/>
      <w:color w:val="000000"/>
      <w:kern w:val="0"/>
      <w:sz w:val="28"/>
      <w:szCs w:val="22"/>
      <w:lang w:val="en-US" w:eastAsia="en-US" w:bidi="ar-SA"/>
    </w:rPr>
  </w:style>
  <w:style w:type="paragraph" w:styleId="TOC3" w:customStyle="1">
    <w:name w:val="toc 3"/>
    <w:pPr>
      <w:keepNext w:val="false"/>
      <w:pageBreakBefore w:val="false"/>
      <w:widowControl/>
      <w:bidi w:val="0"/>
      <w:spacing w:lineRule="auto" w:line="360" w:before="0" w:after="0"/>
      <w:ind w:hanging="0"/>
      <w:jc w:val="start"/>
    </w:pPr>
    <w:rPr>
      <w:rFonts w:ascii="Times New Roman" w:hAnsi="Times New Roman" w:eastAsia="Times New Roman" w:cs="Times New Roman"/>
      <w:b w:val="false"/>
      <w:i w:val="false"/>
      <w:color w:val="000000"/>
      <w:kern w:val="0"/>
      <w:sz w:val="28"/>
      <w:szCs w:val="22"/>
      <w:lang w:val="en-US" w:eastAsia="en-US" w:bidi="ar-SA"/>
    </w:rPr>
  </w:style>
  <w:style w:type="paragraph" w:styleId="ImageCaption" w:customStyle="1">
    <w:name w:val="Image Caption"/>
    <w:qFormat/>
    <w:pPr>
      <w:keepNext w:val="false"/>
      <w:pageBreakBefore w:val="false"/>
      <w:widowControl/>
      <w:bidi w:val="0"/>
      <w:spacing w:lineRule="auto" w:line="360" w:before="120" w:after="120"/>
      <w:ind w:hanging="0"/>
      <w:jc w:val="center"/>
    </w:pPr>
    <w:rPr>
      <w:rFonts w:ascii="Times New Roman" w:hAnsi="Times New Roman" w:eastAsia="Times New Roman" w:cs="Times New Roman"/>
      <w:b w:val="false"/>
      <w:i w:val="false"/>
      <w:color w:val="000000"/>
      <w:kern w:val="0"/>
      <w:sz w:val="28"/>
      <w:szCs w:val="22"/>
      <w:lang w:val="en-US" w:eastAsia="en-US" w:bidi="ar-SA"/>
    </w:rPr>
  </w:style>
  <w:style w:type="paragraph" w:styleId="TableCaption" w:customStyle="1">
    <w:name w:val="Table Caption"/>
    <w:qFormat/>
    <w:pPr>
      <w:keepNext w:val="false"/>
      <w:pageBreakBefore w:val="false"/>
      <w:widowControl/>
      <w:bidi w:val="0"/>
      <w:spacing w:lineRule="auto" w:line="360" w:before="120" w:after="120"/>
      <w:ind w:hanging="0"/>
      <w:jc w:val="start"/>
    </w:pPr>
    <w:rPr>
      <w:rFonts w:ascii="Times New Roman" w:hAnsi="Times New Roman" w:eastAsia="Times New Roman" w:cs="Times New Roman"/>
      <w:b w:val="false"/>
      <w:i w:val="false"/>
      <w:color w:val="000000"/>
      <w:kern w:val="0"/>
      <w:sz w:val="28"/>
      <w:szCs w:val="22"/>
      <w:lang w:val="en-US" w:eastAsia="en-US" w:bidi="ar-SA"/>
    </w:rPr>
  </w:style>
  <w:style w:type="paragraph" w:styleId="SourceCode" w:customStyle="1">
    <w:name w:val="Source Code"/>
    <w:qFormat/>
    <w:pPr>
      <w:keepNext w:val="false"/>
      <w:pageBreakBefore w:val="false"/>
      <w:widowControl/>
      <w:bidi w:val="0"/>
      <w:spacing w:lineRule="auto" w:line="360" w:before="0" w:after="0"/>
      <w:ind w:hanging="0"/>
      <w:jc w:val="start"/>
    </w:pPr>
    <w:rPr>
      <w:rFonts w:ascii="Times New Roman" w:hAnsi="Times New Roman" w:eastAsia="Times New Roman" w:cs="Times New Roman"/>
      <w:b w:val="false"/>
      <w:i w:val="false"/>
      <w:color w:val="000000"/>
      <w:kern w:val="0"/>
      <w:sz w:val="28"/>
      <w:szCs w:val="22"/>
      <w:lang w:val="en-US" w:eastAsia="en-US" w:bidi="ar-SA"/>
    </w:rPr>
  </w:style>
  <w:style w:type="paragraph" w:styleId="Compact" w:customStyle="1">
    <w:name w:val="Compact"/>
    <w:qFormat/>
    <w:pPr>
      <w:keepNext w:val="false"/>
      <w:pageBreakBefore w:val="false"/>
      <w:widowControl/>
      <w:bidi w:val="0"/>
      <w:spacing w:lineRule="auto" w:line="360" w:before="0" w:after="0"/>
      <w:ind w:hanging="0"/>
      <w:jc w:val="start"/>
    </w:pPr>
    <w:rPr>
      <w:rFonts w:ascii="Times New Roman" w:hAnsi="Times New Roman" w:eastAsia="Times New Roman" w:cs="Times New Roman"/>
      <w:b w:val="false"/>
      <w:i w:val="false"/>
      <w:color w:val="000000"/>
      <w:kern w:val="0"/>
      <w:sz w:val="28"/>
      <w:szCs w:val="22"/>
      <w:lang w:val="en-US" w:eastAsia="en-US" w:bidi="ar-SA"/>
    </w:rPr>
  </w:style>
  <w:style w:type="paragraph" w:styleId="CaptionedFigure" w:customStyle="1">
    <w:name w:val="Captioned Figure"/>
    <w:qFormat/>
    <w:pPr>
      <w:keepNext w:val="false"/>
      <w:pageBreakBefore w:val="false"/>
      <w:widowControl/>
      <w:bidi w:val="0"/>
      <w:spacing w:lineRule="auto" w:line="360" w:before="120" w:after="120"/>
      <w:ind w:hanging="0"/>
      <w:jc w:val="center"/>
    </w:pPr>
    <w:rPr>
      <w:rFonts w:ascii="Times New Roman" w:hAnsi="Times New Roman" w:eastAsia="Times New Roman" w:cs="Times New Roman"/>
      <w:b w:val="false"/>
      <w:i w:val="false"/>
      <w:color w:val="000000"/>
      <w:kern w:val="0"/>
      <w:sz w:val="28"/>
      <w:szCs w:val="22"/>
      <w:lang w:val="en-US" w:eastAsia="en-US" w:bidi="ar-SA"/>
    </w:rPr>
  </w:style>
  <w:style w:type="paragraph" w:styleId="Figure" w:customStyle="1">
    <w:name w:val="Figure"/>
    <w:qFormat/>
    <w:pPr>
      <w:keepNext w:val="false"/>
      <w:pageBreakBefore w:val="false"/>
      <w:widowControl/>
      <w:bidi w:val="0"/>
      <w:spacing w:lineRule="auto" w:line="360" w:before="120" w:after="120"/>
      <w:ind w:hanging="0"/>
      <w:jc w:val="center"/>
    </w:pPr>
    <w:rPr>
      <w:rFonts w:ascii="Times New Roman" w:hAnsi="Times New Roman" w:eastAsia="Times New Roman" w:cs="Times New Roman"/>
      <w:b w:val="false"/>
      <w:i w:val="false"/>
      <w:color w:val="000000"/>
      <w:kern w:val="0"/>
      <w:sz w:val="28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">
    <w:name w:val="Table"/>
    <w:basedOn w:val="TableNormal"/>
    <w:uiPriority w:val="59"/>
    <w:pPr>
      <w:spacing w:after="0" w:line="276" w:lineRule="auto"/>
    </w:pPr>
    <w:rPr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jpeg"/><Relationship Id="rId6" Type="http://schemas.openxmlformats.org/officeDocument/2006/relationships/image" Target="media/image1.jpeg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footer" Target="footer7.xml"/><Relationship Id="rId11" Type="http://schemas.openxmlformats.org/officeDocument/2006/relationships/footer" Target="footer8.xml"/><Relationship Id="rId12" Type="http://schemas.openxmlformats.org/officeDocument/2006/relationships/footer" Target="footer9.xml"/><Relationship Id="rId13" Type="http://schemas.openxmlformats.org/officeDocument/2006/relationships/footer" Target="footer10.xml"/><Relationship Id="rId14" Type="http://schemas.openxmlformats.org/officeDocument/2006/relationships/footer" Target="footer11.xml"/><Relationship Id="rId15" Type="http://schemas.openxmlformats.org/officeDocument/2006/relationships/footer" Target="footer12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LibreOffice/25.8.5.2$Linux_X86_64 LibreOffice_project/580$Build-2</Application>
  <AppVersion>15.0000</AppVersion>
  <Pages>12</Pages>
  <Words>786</Words>
  <Characters>5171</Characters>
  <CharactersWithSpaces>5877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2026-05-04T17:18:46Z</dcterms:created>
  <dc:creator/>
  <dc:description/>
  <dc:language>en-US</dc:language>
  <cp:lastModifiedBy/>
  <dcterms:modified xsi:type="dcterms:W3CDTF">2026-05-04T20:19:17Z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