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1F3864"/>
          <w:sz w:val="52"/>
          <w:szCs w:val="52"/>
        </w:rPr>
        <w:t xml:space="preserve">ClearSpeed Data &amp; Analytics Platform</w:t>
      </w:r>
    </w:p>
    <w:p>
      <w:pPr>
        <w:spacing w:before="0" w:after="200"/>
      </w:pPr>
      <w:r>
        <w:rPr>
          <w:rFonts w:ascii="Arial" w:cs="Arial" w:eastAsia="Arial" w:hAnsi="Arial"/>
          <w:b/>
          <w:bCs/>
          <w:color w:val="2E75B6"/>
          <w:sz w:val="40"/>
          <w:szCs w:val="40"/>
        </w:rPr>
        <w:t xml:space="preserve">Text-to-SQL Evaluation Framework</w:t>
      </w:r>
    </w:p>
    <w:p>
      <w:pPr>
        <w:pBdr>
          <w:bottom w:val="single" w:color="2E75B6" w:sz="8"/>
        </w:pBdr>
        <w:spacing w:before="0" w:after="100"/>
      </w:pPr>
      <w:r>
        <w:rPr>
          <w:rFonts w:ascii="Arial" w:cs="Arial" w:eastAsia="Arial" w:hAnsi="Arial"/>
          <w:i/>
          <w:iCs/>
          <w:color w:val="374151"/>
          <w:sz w:val="26"/>
          <w:szCs w:val="26"/>
        </w:rPr>
        <w:t xml:space="preserve">A PM's Guide to AI Evaluation, Launch Criteria &amp; Responsible AI</w:t>
      </w:r>
    </w:p>
    <w:p>
      <w:pPr>
        <w:spacing w:before="0" w:after="200"/>
      </w:pPr>
      <w:r>
        <w:rPr>
          <w:sz w:val="22"/>
          <w:szCs w:val="22"/>
        </w:rPr>
        <w:t xml:space="preserve"/>
      </w:r>
    </w:p>
    <w:p>
      <w:pPr>
        <w:spacing w:before="0" w:after="80"/>
      </w:pPr>
      <w:r>
        <w:rPr>
          <w:rFonts w:ascii="Arial" w:cs="Arial" w:eastAsia="Arial" w:hAnsi="Arial"/>
          <w:color w:val="374151"/>
          <w:sz w:val="22"/>
          <w:szCs w:val="22"/>
        </w:rPr>
        <w:t xml:space="preserve">Prepared by: Anirban Kundu  |  Role: Product Manager</w:t>
      </w:r>
    </w:p>
    <w:p>
      <w:pPr>
        <w:spacing w:before="0" w:after="80"/>
      </w:pPr>
      <w:r>
        <w:rPr>
          <w:rFonts w:ascii="Arial" w:cs="Arial" w:eastAsia="Arial" w:hAnsi="Arial"/>
          <w:color w:val="374151"/>
          <w:sz w:val="22"/>
          <w:szCs w:val="22"/>
        </w:rPr>
        <w:t xml:space="preserve">Product: NLP Query Interface (Text-to-SQL)  |  Platform: ClearSpeed Analytics</w:t>
      </w:r>
    </w:p>
    <w:p>
      <w:pPr>
        <w:spacing w:before="0" w:after="300"/>
      </w:pPr>
      <w:r>
        <w:rPr>
          <w:sz w:val="22"/>
          <w:szCs w:val="22"/>
        </w:rPr>
        <w:t xml:space="preserve"/>
      </w:r>
    </w:p>
    <w:p>
      <w:pPr>
        <w:pStyle w:val="Heading1"/>
        <w:pBdr>
          <w:bottom w:val="single" w:color="2E75B6" w:sz="6" w:space="6"/>
        </w:pBdr>
        <w:spacing w:before="400" w:after="200"/>
      </w:pPr>
      <w:r>
        <w:rPr>
          <w:rFonts w:ascii="Arial" w:cs="Arial" w:eastAsia="Arial" w:hAnsi="Arial"/>
          <w:b/>
          <w:bCs/>
          <w:color w:val="1F3864"/>
          <w:sz w:val="36"/>
          <w:szCs w:val="36"/>
        </w:rPr>
        <w:t xml:space="preserve">1. Overview of the AI Component</w:t>
      </w:r>
    </w:p>
    <w:p>
      <w:pPr>
        <w:spacing w:before="80" w:after="120"/>
      </w:pPr>
      <w:r>
        <w:rPr>
          <w:rFonts w:ascii="Arial" w:cs="Arial" w:eastAsia="Arial" w:hAnsi="Arial"/>
          <w:color w:val="111827"/>
          <w:sz w:val="22"/>
          <w:szCs w:val="22"/>
        </w:rPr>
        <w:t xml:space="preserve">The NLP Query Interface is the most technically complex and highest-risk AI component within the ClearSpeed Data &amp; Analytics Platform. It allows non-technical users — such as Claims Adjusters, Chief Claims Officers, and Public Sector analysts — to query the data lake using plain English, which the system then converts into executable SQL queries via a Large Language Model (LLM).</w:t>
      </w:r>
    </w:p>
    <w:p>
      <w:pPr>
        <w:spacing w:before="0" w:after="100"/>
      </w:pPr>
      <w:r>
        <w:rPr>
          <w:sz w:val="22"/>
          <w:szCs w:val="22"/>
        </w:rPr>
        <w:t xml:space="preserve"/>
      </w:r>
    </w:p>
    <w:p>
      <w:pPr>
        <w:spacing w:before="80" w:after="120"/>
      </w:pPr>
      <w:r>
        <w:rPr>
          <w:rFonts w:ascii="Arial" w:cs="Arial" w:eastAsia="Arial" w:hAnsi="Arial"/>
          <w:color w:val="111827"/>
          <w:sz w:val="22"/>
          <w:szCs w:val="22"/>
        </w:rPr>
        <w:t xml:space="preserve">This document defines how a Product Manager should structure the evaluation (eval) framework for this AI component, including how training data is generated, how evals are run, what metrics gate launch, and how the 3H framework (Helpful, Honest, Harmless) applies to a B2B fraud detection context.</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LLM</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Gemini 1.5 (selected after eval on Accuracy, Latency,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Interface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Free-text input converted to SQL via LLM prompt engineering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RAG</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Vector embeddings on Glue Catalog schema — model-agnostic retrieval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Execution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Athena executes generated SQL against Iceberg tables in S3</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Fallback</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RAG-based fuzzy retrieval when SQL returns empty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Governance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Lake Formation row/column permissions enforced per tenant before query</w:t>
            </w:r>
          </w:p>
        </w:tc>
      </w:tr>
    </w:tbl>
    <w:p>
      <w:pPr>
        <w:spacing w:before="0" w:after="200"/>
      </w:pPr>
      <w:r>
        <w:rPr>
          <w:sz w:val="22"/>
          <w:szCs w:val="22"/>
        </w:rPr>
        <w:t xml:space="preserve"/>
      </w:r>
    </w:p>
    <w:p>
      <w:pPr>
        <w:pStyle w:val="Heading1"/>
        <w:pBdr>
          <w:bottom w:val="single" w:color="2E75B6" w:sz="6" w:space="6"/>
        </w:pBdr>
        <w:spacing w:before="400" w:after="200"/>
      </w:pPr>
      <w:r>
        <w:rPr>
          <w:rFonts w:ascii="Arial" w:cs="Arial" w:eastAsia="Arial" w:hAnsi="Arial"/>
          <w:b/>
          <w:bCs/>
          <w:color w:val="1F3864"/>
          <w:sz w:val="36"/>
          <w:szCs w:val="36"/>
        </w:rPr>
        <w:t xml:space="preserve">2. How to Generate Training &amp; Evaluation Data</w:t>
      </w:r>
    </w:p>
    <w:p>
      <w:pPr>
        <w:spacing w:before="80" w:after="120"/>
      </w:pPr>
      <w:r>
        <w:rPr>
          <w:rFonts w:ascii="Arial" w:cs="Arial" w:eastAsia="Arial" w:hAnsi="Arial"/>
          <w:color w:val="111827"/>
          <w:sz w:val="22"/>
          <w:szCs w:val="22"/>
        </w:rPr>
        <w:t xml:space="preserve">A common PM mistake is to treat data generation as an engineering task. In practice, the PM owns the data strategy because training and eval data must reflect real user intent, not hypothetical queries. Below is the methodology used for the ClearSpeed NLP interface.</w:t>
      </w:r>
    </w:p>
    <w:p>
      <w:pPr>
        <w:spacing w:before="0" w:after="100"/>
      </w:pPr>
      <w:r>
        <w:rPr>
          <w:sz w:val="22"/>
          <w:szCs w:val="22"/>
        </w:rPr>
        <w:t xml:space="preserve"/>
      </w:r>
    </w:p>
    <w:p>
      <w:pPr>
        <w:pStyle w:val="Heading2"/>
        <w:spacing w:before="320" w:after="160"/>
      </w:pPr>
      <w:r>
        <w:rPr>
          <w:rFonts w:ascii="Arial" w:cs="Arial" w:eastAsia="Arial" w:hAnsi="Arial"/>
          <w:b/>
          <w:bCs/>
          <w:color w:val="2E75B6"/>
          <w:sz w:val="28"/>
          <w:szCs w:val="28"/>
        </w:rPr>
        <w:t xml:space="preserve">Step 1: Define the Query Universe</w:t>
      </w:r>
    </w:p>
    <w:p>
      <w:pPr>
        <w:spacing w:before="80" w:after="120"/>
      </w:pPr>
      <w:r>
        <w:rPr>
          <w:rFonts w:ascii="Arial" w:cs="Arial" w:eastAsia="Arial" w:hAnsi="Arial"/>
          <w:color w:val="111827"/>
          <w:sz w:val="22"/>
          <w:szCs w:val="22"/>
        </w:rPr>
        <w:t xml:space="preserve">Before generating any data, the PM must bound the problem by defining what the system should and should not be able to answer. For ClearSpeed, the query universe was scoped to:</w:t>
      </w:r>
    </w:p>
    <w:p>
      <w:pPr>
        <w:pStyle w:val="ListParagraph"/>
        <w:numPr>
          <w:ilvl w:val="0"/>
          <w:numId w:val="2"/>
        </w:numPr>
        <w:spacing w:before="60" w:after="60"/>
      </w:pPr>
      <w:r>
        <w:rPr>
          <w:rFonts w:ascii="Arial" w:cs="Arial" w:eastAsia="Arial" w:hAnsi="Arial"/>
          <w:b w:val="false"/>
          <w:bCs w:val="false"/>
          <w:color w:val="111827"/>
          <w:sz w:val="22"/>
          <w:szCs w:val="22"/>
        </w:rPr>
        <w:t xml:space="preserve">Insurance domain queries (prioritized — 80% of revenue)</w:t>
      </w:r>
    </w:p>
    <w:p>
      <w:pPr>
        <w:pStyle w:val="ListParagraph"/>
        <w:numPr>
          <w:ilvl w:val="0"/>
          <w:numId w:val="2"/>
        </w:numPr>
        <w:spacing w:before="60" w:after="60"/>
      </w:pPr>
      <w:r>
        <w:rPr>
          <w:rFonts w:ascii="Arial" w:cs="Arial" w:eastAsia="Arial" w:hAnsi="Arial"/>
          <w:b w:val="false"/>
          <w:bCs w:val="false"/>
          <w:color w:val="111827"/>
          <w:sz w:val="22"/>
          <w:szCs w:val="22"/>
        </w:rPr>
        <w:t xml:space="preserve">Claims risk distribution, fraud savings, processing efficiency</w:t>
      </w:r>
    </w:p>
    <w:p>
      <w:pPr>
        <w:pStyle w:val="ListParagraph"/>
        <w:numPr>
          <w:ilvl w:val="0"/>
          <w:numId w:val="2"/>
        </w:numPr>
        <w:spacing w:before="60" w:after="60"/>
      </w:pPr>
      <w:r>
        <w:rPr>
          <w:rFonts w:ascii="Arial" w:cs="Arial" w:eastAsia="Arial" w:hAnsi="Arial"/>
          <w:b w:val="false"/>
          <w:bCs w:val="false"/>
          <w:color w:val="111827"/>
          <w:sz w:val="22"/>
          <w:szCs w:val="22"/>
        </w:rPr>
        <w:t xml:space="preserve">Banking: loan processing trends, risk level over time</w:t>
      </w:r>
    </w:p>
    <w:p>
      <w:pPr>
        <w:pStyle w:val="ListParagraph"/>
        <w:numPr>
          <w:ilvl w:val="0"/>
          <w:numId w:val="2"/>
        </w:numPr>
        <w:spacing w:before="60" w:after="60"/>
      </w:pPr>
      <w:r>
        <w:rPr>
          <w:rFonts w:ascii="Arial" w:cs="Arial" w:eastAsia="Arial" w:hAnsi="Arial"/>
          <w:b w:val="false"/>
          <w:bCs w:val="false"/>
          <w:color w:val="111827"/>
          <w:sz w:val="22"/>
          <w:szCs w:val="22"/>
        </w:rPr>
        <w:t xml:space="preserve">Public Sector: benefit application analytics, processing times</w:t>
      </w:r>
    </w:p>
    <w:p>
      <w:pPr>
        <w:pStyle w:val="ListParagraph"/>
        <w:numPr>
          <w:ilvl w:val="0"/>
          <w:numId w:val="2"/>
        </w:numPr>
        <w:spacing w:before="60" w:after="60"/>
      </w:pPr>
      <w:r>
        <w:rPr>
          <w:rFonts w:ascii="Arial" w:cs="Arial" w:eastAsia="Arial" w:hAnsi="Arial"/>
          <w:b w:val="false"/>
          <w:bCs w:val="false"/>
          <w:color w:val="111827"/>
          <w:sz w:val="22"/>
          <w:szCs w:val="22"/>
        </w:rPr>
        <w:t xml:space="preserve">Out of scope: raw audio data queries, cross-tenant comparisons, PII lookups</w:t>
      </w:r>
    </w:p>
    <w:p>
      <w:pPr>
        <w:spacing w:before="0" w:after="100"/>
      </w:pPr>
      <w:r>
        <w:rPr>
          <w:sz w:val="22"/>
          <w:szCs w:val="22"/>
        </w:rPr>
        <w:t xml:space="preserve"/>
      </w:r>
    </w:p>
    <w:p>
      <w:pPr>
        <w:pStyle w:val="Heading2"/>
        <w:spacing w:before="320" w:after="160"/>
      </w:pPr>
      <w:r>
        <w:rPr>
          <w:rFonts w:ascii="Arial" w:cs="Arial" w:eastAsia="Arial" w:hAnsi="Arial"/>
          <w:b/>
          <w:bCs/>
          <w:color w:val="2E75B6"/>
          <w:sz w:val="28"/>
          <w:szCs w:val="28"/>
        </w:rPr>
        <w:t xml:space="preserve">Step 2: Collect Seed Queries from Real Users</w:t>
      </w:r>
    </w:p>
    <w:p>
      <w:pPr>
        <w:spacing w:before="80" w:after="120"/>
      </w:pPr>
      <w:r>
        <w:rPr>
          <w:rFonts w:ascii="Arial" w:cs="Arial" w:eastAsia="Arial" w:hAnsi="Arial"/>
          <w:color w:val="111827"/>
          <w:sz w:val="22"/>
          <w:szCs w:val="22"/>
        </w:rPr>
        <w:t xml:space="preserve">The PM facilitates structured discovery sessions with each user persona to collect the top 10-15 most frequent and high-value questions they would ask of the data. This seeds both training data generation and the eval benchmark.</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Persona</w:t>
            </w:r>
          </w:p>
        </w:tc>
        <w:tc>
          <w:tcPr>
            <w:tcW w:type="dxa" w:w="4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Sample Seed Query</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SQL Complexity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Claims Adjuster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average response time for high-risk applications in March?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filter + aggregate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Chief Claims Officer</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How does our fraud detection rate compare to the industry benchmark?</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High — join + external ref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Analyst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were the monthly trends for high-risk applications in the last 6 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 time series + group by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Operations Manager</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Show me processing time by application type this quarter</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Medium — filter + group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 Risk Officer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risk level distribution for loan applications this year?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distribution query</w:t>
            </w:r>
          </w:p>
        </w:tc>
      </w:tr>
    </w:tbl>
    <w:p>
      <w:pPr>
        <w:spacing w:before="0" w:after="200"/>
      </w:pPr>
      <w:r>
        <w:rPr>
          <w:sz w:val="22"/>
          <w:szCs w:val="22"/>
        </w:rPr>
        <w:t xml:space="preserve"/>
      </w:r>
    </w:p>
    <w:p>
      <w:pPr>
        <w:pStyle w:val="Heading2"/>
        <w:spacing w:before="320" w:after="160"/>
      </w:pPr>
      <w:r>
        <w:rPr>
          <w:rFonts w:ascii="Arial" w:cs="Arial" w:eastAsia="Arial" w:hAnsi="Arial"/>
          <w:b/>
          <w:bCs/>
          <w:color w:val="2E75B6"/>
          <w:sz w:val="28"/>
          <w:szCs w:val="28"/>
        </w:rPr>
        <w:t xml:space="preserve">Step 3: Synthetically Expand with LLM</w:t>
      </w:r>
    </w:p>
    <w:p>
      <w:pPr>
        <w:spacing w:before="80" w:after="120"/>
      </w:pPr>
      <w:r>
        <w:rPr>
          <w:rFonts w:ascii="Arial" w:cs="Arial" w:eastAsia="Arial" w:hAnsi="Arial"/>
          <w:color w:val="111827"/>
          <w:sz w:val="22"/>
          <w:szCs w:val="22"/>
        </w:rPr>
        <w:t xml:space="preserve">Once seed queries are collected, use an LLM to generate variations — paraphrasing, adding temporal modifiers, changing entity names, introducing typos or ambiguity. The PM reviews a sample of this generated data before it enters the eval set to check for unrealistic or misleading examples.</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75B6" w:val="clear"/>
            <w:tcMar>
              <w:top w:type="dxa" w:w="120"/>
              <w:left w:type="dxa" w:w="180"/>
              <w:bottom w:type="dxa" w:w="120"/>
              <w:right w:type="dxa" w:w="180"/>
            </w:tcMar>
          </w:tcPr>
          <w:p>
            <w:r>
              <w:rPr>
                <w:rFonts w:ascii="Arial" w:cs="Arial" w:eastAsia="Arial" w:hAnsi="Arial"/>
                <w:b/>
                <w:bCs/>
                <w:color w:val="FFFFFF"/>
                <w:sz w:val="24"/>
                <w:szCs w:val="24"/>
              </w:rPr>
              <w:t xml:space="preserve">Training Data Generation Pipeline</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60"/>
            </w:pPr>
            <w:r>
              <w:rPr>
                <w:rFonts w:ascii="Arial" w:cs="Arial" w:eastAsia="Arial" w:hAnsi="Arial"/>
                <w:b/>
                <w:bCs/>
                <w:sz w:val="22"/>
                <w:szCs w:val="22"/>
              </w:rPr>
              <w:t xml:space="preserve">Input to the generation pipeline:</w:t>
            </w:r>
          </w:p>
          <w:p>
            <w:pPr>
              <w:pStyle w:val="ListParagraph"/>
              <w:numPr>
                <w:ilvl w:val="0"/>
                <w:numId w:val="2"/>
              </w:numPr>
              <w:spacing w:before="60" w:after="60"/>
            </w:pPr>
            <w:r>
              <w:rPr>
                <w:rFonts w:ascii="Arial" w:cs="Arial" w:eastAsia="Arial" w:hAnsi="Arial"/>
                <w:b w:val="false"/>
                <w:bCs w:val="false"/>
                <w:color w:val="111827"/>
                <w:sz w:val="22"/>
                <w:szCs w:val="22"/>
              </w:rPr>
              <w:t xml:space="preserve">Glue Catalog schema (table names, column names, data types, relationships)</w:t>
            </w:r>
          </w:p>
          <w:p>
            <w:pPr>
              <w:pStyle w:val="ListParagraph"/>
              <w:numPr>
                <w:ilvl w:val="0"/>
                <w:numId w:val="2"/>
              </w:numPr>
              <w:spacing w:before="60" w:after="60"/>
            </w:pPr>
            <w:r>
              <w:rPr>
                <w:rFonts w:ascii="Arial" w:cs="Arial" w:eastAsia="Arial" w:hAnsi="Arial"/>
                <w:b w:val="false"/>
                <w:bCs w:val="false"/>
                <w:color w:val="111827"/>
                <w:sz w:val="22"/>
                <w:szCs w:val="22"/>
              </w:rPr>
              <w:t xml:space="preserve">User persona context (role, domain, access permissions)</w:t>
            </w:r>
          </w:p>
          <w:p>
            <w:pPr>
              <w:pStyle w:val="ListParagraph"/>
              <w:numPr>
                <w:ilvl w:val="0"/>
                <w:numId w:val="2"/>
              </w:numPr>
              <w:spacing w:before="60" w:after="60"/>
            </w:pPr>
            <w:r>
              <w:rPr>
                <w:rFonts w:ascii="Arial" w:cs="Arial" w:eastAsia="Arial" w:hAnsi="Arial"/>
                <w:b w:val="false"/>
                <w:bCs w:val="false"/>
                <w:color w:val="111827"/>
                <w:sz w:val="22"/>
                <w:szCs w:val="22"/>
              </w:rPr>
              <w:t xml:space="preserve">Top 10 frequent seed queries per persona</w:t>
            </w:r>
          </w:p>
          <w:p>
            <w:pPr>
              <w:pStyle w:val="ListParagraph"/>
              <w:numPr>
                <w:ilvl w:val="0"/>
                <w:numId w:val="2"/>
              </w:numPr>
              <w:spacing w:before="60" w:after="60"/>
            </w:pPr>
            <w:r>
              <w:rPr>
                <w:rFonts w:ascii="Arial" w:cs="Arial" w:eastAsia="Arial" w:hAnsi="Arial"/>
                <w:b w:val="false"/>
                <w:bCs w:val="false"/>
                <w:color w:val="111827"/>
                <w:sz w:val="22"/>
                <w:szCs w:val="22"/>
              </w:rPr>
              <w:t xml:space="preserve">Business glossary (e.g., 'high-risk' = risk_score &gt; 0.75)</w:t>
            </w:r>
          </w:p>
          <w:p>
            <w:pPr>
              <w:spacing w:before="0" w:after="100"/>
            </w:pPr>
            <w:r>
              <w:rPr>
                <w:sz w:val="22"/>
                <w:szCs w:val="22"/>
              </w:rPr>
              <w:t xml:space="preserve"/>
            </w:r>
          </w:p>
          <w:p>
            <w:pPr>
              <w:spacing w:before="60" w:after="60"/>
            </w:pPr>
            <w:r>
              <w:rPr>
                <w:rFonts w:ascii="Arial" w:cs="Arial" w:eastAsia="Arial" w:hAnsi="Arial"/>
                <w:b/>
                <w:bCs/>
                <w:sz w:val="22"/>
                <w:szCs w:val="22"/>
              </w:rPr>
              <w:t xml:space="preserve">Output of the generation pipeline (per query example):</w:t>
            </w:r>
          </w:p>
          <w:p>
            <w:pPr>
              <w:pStyle w:val="ListParagraph"/>
              <w:numPr>
                <w:ilvl w:val="0"/>
                <w:numId w:val="2"/>
              </w:numPr>
              <w:spacing w:before="60" w:after="60"/>
            </w:pPr>
            <w:r>
              <w:rPr>
                <w:rFonts w:ascii="Arial" w:cs="Arial" w:eastAsia="Arial" w:hAnsi="Arial"/>
                <w:b w:val="false"/>
                <w:bCs w:val="false"/>
                <w:color w:val="111827"/>
                <w:sz w:val="22"/>
                <w:szCs w:val="22"/>
              </w:rPr>
              <w:t xml:space="preserve">User prompt (natural language question)</w:t>
            </w:r>
          </w:p>
          <w:p>
            <w:pPr>
              <w:pStyle w:val="ListParagraph"/>
              <w:numPr>
                <w:ilvl w:val="0"/>
                <w:numId w:val="2"/>
              </w:numPr>
              <w:spacing w:before="60" w:after="60"/>
            </w:pPr>
            <w:r>
              <w:rPr>
                <w:rFonts w:ascii="Arial" w:cs="Arial" w:eastAsia="Arial" w:hAnsi="Arial"/>
                <w:b w:val="false"/>
                <w:bCs w:val="false"/>
                <w:color w:val="111827"/>
                <w:sz w:val="22"/>
                <w:szCs w:val="22"/>
              </w:rPr>
              <w:t xml:space="preserve">Expected tables and entities to address the query</w:t>
            </w:r>
          </w:p>
          <w:p>
            <w:pPr>
              <w:pStyle w:val="ListParagraph"/>
              <w:numPr>
                <w:ilvl w:val="0"/>
                <w:numId w:val="2"/>
              </w:numPr>
              <w:spacing w:before="60" w:after="60"/>
            </w:pPr>
            <w:r>
              <w:rPr>
                <w:rFonts w:ascii="Arial" w:cs="Arial" w:eastAsia="Arial" w:hAnsi="Arial"/>
                <w:b w:val="false"/>
                <w:bCs w:val="false"/>
                <w:color w:val="111827"/>
                <w:sz w:val="22"/>
                <w:szCs w:val="22"/>
              </w:rPr>
              <w:t xml:space="preserve">Actual SQL query for validation (ground truth)</w:t>
            </w:r>
          </w:p>
          <w:p>
            <w:pPr>
              <w:pStyle w:val="ListParagraph"/>
              <w:numPr>
                <w:ilvl w:val="0"/>
                <w:numId w:val="2"/>
              </w:numPr>
              <w:spacing w:before="60" w:after="60"/>
            </w:pPr>
            <w:r>
              <w:rPr>
                <w:rFonts w:ascii="Arial" w:cs="Arial" w:eastAsia="Arial" w:hAnsi="Arial"/>
                <w:b w:val="false"/>
                <w:bCs w:val="false"/>
                <w:color w:val="111827"/>
                <w:sz w:val="22"/>
                <w:szCs w:val="22"/>
              </w:rPr>
              <w:t xml:space="preserve">Expected SQL actions: GroupBy / Filter / Join / Subquery / Order</w:t>
            </w:r>
          </w:p>
          <w:p>
            <w:pPr>
              <w:pStyle w:val="ListParagraph"/>
              <w:numPr>
                <w:ilvl w:val="0"/>
                <w:numId w:val="2"/>
              </w:numPr>
              <w:spacing w:before="60" w:after="60"/>
            </w:pPr>
            <w:r>
              <w:rPr>
                <w:rFonts w:ascii="Arial" w:cs="Arial" w:eastAsia="Arial" w:hAnsi="Arial"/>
                <w:b w:val="false"/>
                <w:bCs w:val="false"/>
                <w:color w:val="111827"/>
                <w:sz w:val="22"/>
                <w:szCs w:val="22"/>
              </w:rPr>
              <w:t xml:space="preserve">Complexity label: Simple / Medium / Complex</w:t>
            </w:r>
          </w:p>
        </w:tc>
      </w:tr>
    </w:tbl>
    <w:p>
      <w:pPr>
        <w:spacing w:before="0" w:after="200"/>
      </w:pPr>
      <w:r>
        <w:rPr>
          <w:sz w:val="22"/>
          <w:szCs w:val="22"/>
        </w:rPr>
        <w:t xml:space="preserve"/>
      </w:r>
    </w:p>
    <w:p>
      <w:pPr>
        <w:pStyle w:val="Heading2"/>
        <w:spacing w:before="320" w:after="160"/>
      </w:pPr>
      <w:r>
        <w:rPr>
          <w:rFonts w:ascii="Arial" w:cs="Arial" w:eastAsia="Arial" w:hAnsi="Arial"/>
          <w:b/>
          <w:bCs/>
          <w:color w:val="2E75B6"/>
          <w:sz w:val="28"/>
          <w:szCs w:val="28"/>
        </w:rPr>
        <w:t xml:space="preserve">Step 4: Annotate and Quality-Gate the Dataset</w:t>
      </w:r>
    </w:p>
    <w:p>
      <w:pPr>
        <w:spacing w:before="80" w:after="120"/>
      </w:pPr>
      <w:r>
        <w:rPr>
          <w:rFonts w:ascii="Arial" w:cs="Arial" w:eastAsia="Arial" w:hAnsi="Arial"/>
          <w:color w:val="111827"/>
          <w:sz w:val="22"/>
          <w:szCs w:val="22"/>
        </w:rPr>
        <w:t xml:space="preserve">The PM works with domain SMEs (e.g., a senior Claims Adjuster) to validate that the ground-truth SQL correctly answers the user's intent. Each entry in the eval set is tagged with:</w:t>
      </w:r>
    </w:p>
    <w:p>
      <w:pPr>
        <w:pStyle w:val="ListParagraph"/>
        <w:numPr>
          <w:ilvl w:val="0"/>
          <w:numId w:val="2"/>
        </w:numPr>
        <w:spacing w:before="60" w:after="60"/>
      </w:pPr>
      <w:r>
        <w:rPr>
          <w:rFonts w:ascii="Arial" w:cs="Arial" w:eastAsia="Arial" w:hAnsi="Arial"/>
          <w:b w:val="false"/>
          <w:bCs w:val="false"/>
          <w:color w:val="111827"/>
          <w:sz w:val="22"/>
          <w:szCs w:val="22"/>
        </w:rPr>
        <w:t xml:space="preserve">Query complexity (Simple, Medium, Complex)</w:t>
      </w:r>
    </w:p>
    <w:p>
      <w:pPr>
        <w:pStyle w:val="ListParagraph"/>
        <w:numPr>
          <w:ilvl w:val="0"/>
          <w:numId w:val="2"/>
        </w:numPr>
        <w:spacing w:before="60" w:after="60"/>
      </w:pPr>
      <w:r>
        <w:rPr>
          <w:rFonts w:ascii="Arial" w:cs="Arial" w:eastAsia="Arial" w:hAnsi="Arial"/>
          <w:b w:val="false"/>
          <w:bCs w:val="false"/>
          <w:color w:val="111827"/>
          <w:sz w:val="22"/>
          <w:szCs w:val="22"/>
        </w:rPr>
        <w:t xml:space="preserve">SQL operations required (Filter, Join, GroupBy, Time Series, Subquery)</w:t>
      </w:r>
    </w:p>
    <w:p>
      <w:pPr>
        <w:pStyle w:val="ListParagraph"/>
        <w:numPr>
          <w:ilvl w:val="0"/>
          <w:numId w:val="2"/>
        </w:numPr>
        <w:spacing w:before="60" w:after="60"/>
      </w:pPr>
      <w:r>
        <w:rPr>
          <w:rFonts w:ascii="Arial" w:cs="Arial" w:eastAsia="Arial" w:hAnsi="Arial"/>
          <w:b w:val="false"/>
          <w:bCs w:val="false"/>
          <w:color w:val="111827"/>
          <w:sz w:val="22"/>
          <w:szCs w:val="22"/>
        </w:rPr>
        <w:t xml:space="preserve">Risk level (Low, Medium, High) — used to weight failures in go/no-go decisions</w:t>
      </w:r>
    </w:p>
    <w:p>
      <w:pPr>
        <w:pStyle w:val="ListParagraph"/>
        <w:numPr>
          <w:ilvl w:val="0"/>
          <w:numId w:val="2"/>
        </w:numPr>
        <w:spacing w:before="60" w:after="60"/>
      </w:pPr>
      <w:r>
        <w:rPr>
          <w:rFonts w:ascii="Arial" w:cs="Arial" w:eastAsia="Arial" w:hAnsi="Arial"/>
          <w:b w:val="false"/>
          <w:bCs w:val="false"/>
          <w:color w:val="111827"/>
          <w:sz w:val="22"/>
          <w:szCs w:val="22"/>
        </w:rPr>
        <w:t xml:space="preserve">Domain (Insurance, Banking, Public Sector)</w:t>
      </w:r>
    </w:p>
    <w:p>
      <w:pPr>
        <w:spacing w:before="0" w:after="200"/>
      </w:pPr>
      <w:r>
        <w:rPr>
          <w:sz w:val="22"/>
          <w:szCs w:val="22"/>
        </w:rPr>
        <w:t xml:space="preserve"/>
      </w:r>
    </w:p>
    <w:p>
      <w:pPr>
        <w:pStyle w:val="Heading1"/>
        <w:pBdr>
          <w:bottom w:val="single" w:color="2E75B6" w:sz="6" w:space="6"/>
        </w:pBdr>
        <w:spacing w:before="400" w:after="200"/>
      </w:pPr>
      <w:r>
        <w:rPr>
          <w:rFonts w:ascii="Arial" w:cs="Arial" w:eastAsia="Arial" w:hAnsi="Arial"/>
          <w:b/>
          <w:bCs/>
          <w:color w:val="1F3864"/>
          <w:sz w:val="36"/>
          <w:szCs w:val="36"/>
        </w:rPr>
        <w:t xml:space="preserve">3. How Evaluations Are Run</w:t>
      </w:r>
    </w:p>
    <w:p>
      <w:pPr>
        <w:spacing w:before="80" w:after="120"/>
      </w:pPr>
      <w:r>
        <w:rPr>
          <w:rFonts w:ascii="Arial" w:cs="Arial" w:eastAsia="Arial" w:hAnsi="Arial"/>
          <w:color w:val="111827"/>
          <w:sz w:val="22"/>
          <w:szCs w:val="22"/>
        </w:rPr>
        <w:t xml:space="preserve">Evals are run continuously — not just at launch. The PM defines three evaluation environments that serve different purposes.</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Eval Environment</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Frequency</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Eval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Benchmark new model versions against eval dataset before deployment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model update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 PM</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Shadow Mode Eval</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Run new model in parallel with production, compare outputs without serving to users</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Continuous (pre-launch)</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Engineering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Eval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production query quality via sampling + human review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sampling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 + Ops</w:t>
            </w:r>
          </w:p>
        </w:tc>
      </w:tr>
    </w:tbl>
    <w:p>
      <w:pPr>
        <w:spacing w:before="0" w:after="200"/>
      </w:pPr>
      <w:r>
        <w:rPr>
          <w:sz w:val="22"/>
          <w:szCs w:val="22"/>
        </w:rPr>
        <w:t xml:space="preserve"/>
      </w:r>
    </w:p>
    <w:p>
      <w:pPr>
        <w:pStyle w:val="Heading2"/>
        <w:spacing w:before="320" w:after="160"/>
      </w:pPr>
      <w:r>
        <w:rPr>
          <w:rFonts w:ascii="Arial" w:cs="Arial" w:eastAsia="Arial" w:hAnsi="Arial"/>
          <w:b/>
          <w:bCs/>
          <w:color w:val="2E75B6"/>
          <w:sz w:val="28"/>
          <w:szCs w:val="28"/>
        </w:rPr>
        <w:t xml:space="preserve">The Eval Pipeline (Step by Step)</w:t>
      </w:r>
    </w:p>
    <w:p>
      <w:pPr>
        <w:spacing w:before="80" w:after="120"/>
      </w:pPr>
      <w:r>
        <w:rPr>
          <w:rFonts w:ascii="Arial" w:cs="Arial" w:eastAsia="Arial" w:hAnsi="Arial"/>
          <w:color w:val="111827"/>
          <w:sz w:val="22"/>
          <w:szCs w:val="22"/>
        </w:rPr>
        <w:t xml:space="preserve">The diagram below represents the evaluation pipeline that a PM should define and own:</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3F4F6" w:val="clear"/>
            <w:tcMar>
              <w:top w:type="dxa" w:w="160"/>
              <w:left w:type="dxa" w:w="240"/>
              <w:bottom w:type="dxa" w:w="160"/>
              <w:right w:type="dxa" w:w="240"/>
            </w:tcMar>
          </w:tcPr>
          <w:p>
            <w:pPr>
              <w:spacing w:before="60" w:after="100"/>
              <w:jc w:val="center"/>
            </w:pPr>
            <w:r>
              <w:rPr>
                <w:rFonts w:ascii="Arial" w:cs="Arial" w:eastAsia="Arial" w:hAnsi="Arial"/>
                <w:b/>
                <w:bCs/>
                <w:color w:val="1F3864"/>
                <w:sz w:val="22"/>
                <w:szCs w:val="22"/>
              </w:rPr>
              <w:t xml:space="preserve">USER PROMPT  →  TEXT-TO-SQL (LLM)  →  SQL RESPONSE  →  EVAL SYSTEM</w:t>
            </w:r>
          </w:p>
          <w:p>
            <w:pPr>
              <w:spacing w:before="0" w:after="60"/>
              <w:jc w:val="center"/>
            </w:pPr>
            <w:r>
              <w:rPr>
                <w:rFonts w:ascii="Arial" w:cs="Arial" w:eastAsia="Arial" w:hAnsi="Arial"/>
                <w:color w:val="374151"/>
                <w:sz w:val="20"/>
                <w:szCs w:val="20"/>
              </w:rPr>
              <w:t xml:space="preserve">Eval System compares SQL Response against Ground Truth across 3 dimensions:</w:t>
            </w:r>
          </w:p>
          <w:p>
            <w:pPr>
              <w:spacing w:before="0" w:after="60"/>
              <w:jc w:val="center"/>
            </w:pPr>
            <w:r>
              <w:rPr>
                <w:rFonts w:ascii="Arial" w:cs="Arial" w:eastAsia="Arial" w:hAnsi="Arial"/>
                <w:b/>
                <w:bCs/>
                <w:color w:val="2E75B6"/>
                <w:sz w:val="22"/>
                <w:szCs w:val="22"/>
              </w:rPr>
              <w:t xml:space="preserve">RECALL  |  CORRECTNESS  |  RELEVANCE</w:t>
            </w:r>
          </w:p>
        </w:tc>
      </w:tr>
    </w:tbl>
    <w:p>
      <w:pPr>
        <w:spacing w:before="0" w:after="200"/>
      </w:pPr>
      <w:r>
        <w:rPr>
          <w:sz w:val="22"/>
          <w:szCs w:val="22"/>
        </w:rPr>
        <w:t xml:space="preserve"/>
      </w:r>
    </w:p>
    <w:p>
      <w:pPr>
        <w:pStyle w:val="Heading1"/>
        <w:pBdr>
          <w:bottom w:val="single" w:color="2E75B6" w:sz="6" w:space="6"/>
        </w:pBdr>
        <w:spacing w:before="400" w:after="200"/>
      </w:pPr>
      <w:r>
        <w:rPr>
          <w:rFonts w:ascii="Arial" w:cs="Arial" w:eastAsia="Arial" w:hAnsi="Arial"/>
          <w:b/>
          <w:bCs/>
          <w:color w:val="1F3864"/>
          <w:sz w:val="36"/>
          <w:szCs w:val="36"/>
        </w:rPr>
        <w:t xml:space="preserve">4. Evaluation Metrics &amp; Conditions of Launch</w:t>
      </w:r>
    </w:p>
    <w:p>
      <w:pPr>
        <w:spacing w:before="80" w:after="120"/>
      </w:pPr>
      <w:r>
        <w:rPr>
          <w:rFonts w:ascii="Arial" w:cs="Arial" w:eastAsia="Arial" w:hAnsi="Arial"/>
          <w:color w:val="111827"/>
          <w:sz w:val="22"/>
          <w:szCs w:val="22"/>
        </w:rPr>
        <w:t xml:space="preserve">The PM is responsible for defining specific, measurable thresholds for each metric — and for deciding what constitutes a go vs. no-go decision. Below are the core metrics for the ClearSpeed Text-to-SQL system.</w:t>
      </w:r>
    </w:p>
    <w:p>
      <w:pPr>
        <w:spacing w:before="0" w:after="100"/>
      </w:pPr>
      <w:r>
        <w:rPr>
          <w:sz w:val="22"/>
          <w:szCs w:val="22"/>
        </w:rPr>
        <w:t xml:space="preserve"/>
      </w:r>
    </w:p>
    <w:p>
      <w:pPr>
        <w:pStyle w:val="Heading2"/>
        <w:spacing w:before="320" w:after="160"/>
      </w:pPr>
      <w:r>
        <w:rPr>
          <w:rFonts w:ascii="Arial" w:cs="Arial" w:eastAsia="Arial" w:hAnsi="Arial"/>
          <w:b/>
          <w:bCs/>
          <w:color w:val="2E75B6"/>
          <w:sz w:val="28"/>
          <w:szCs w:val="28"/>
        </w:rPr>
        <w:t xml:space="preserve">4.1 Core Technical Metrics</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2100"/>
        <w:gridCol w:w="21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Launch Target</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Minimum Threshold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Recall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correct tables/entities identified in generated SQL vs. ground truth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&gt;= 90%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B1C1C"/>
                <w:sz w:val="20"/>
                <w:szCs w:val="20"/>
              </w:rPr>
              <w:t xml:space="preserve">&lt; 80% =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Correctness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Generated SQL is syntactically valid and executes without error on Athena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&gt;= 95%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B1C1C"/>
                <w:sz w:val="20"/>
                <w:szCs w:val="20"/>
              </w:rPr>
              <w:t xml:space="preserve">&lt; 85% = BLOCK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Relevance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SQL actually answers the user's question (judged by LLM + human sample)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&gt;= 85%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B1C1C"/>
                <w:sz w:val="20"/>
                <w:szCs w:val="20"/>
              </w:rPr>
              <w:t xml:space="preserve">&lt; 75% =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Latency (P95)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95th percentile query response time from user input to result returned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&lt; 8 seconds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B1C1C"/>
                <w:sz w:val="20"/>
                <w:szCs w:val="20"/>
              </w:rPr>
              <w:t xml:space="preserve">&gt; 15s = BLOCK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Null Result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queries that return no result without triggering RAG fallback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&lt; 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B1C1C"/>
                <w:sz w:val="20"/>
                <w:szCs w:val="20"/>
              </w:rPr>
              <w:t xml:space="preserve">&gt; 15% = BLOCK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Hallucination 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queries where SQL references non-existent tables or columns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&lt;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B1C1C"/>
                <w:sz w:val="20"/>
                <w:szCs w:val="20"/>
              </w:rPr>
              <w:t xml:space="preserve">&gt; 5% = BLOCK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Permission Violation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Queries that attempt to access data outside tenant's Lake Formation permissions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9B1C1C"/>
                <w:sz w:val="20"/>
                <w:szCs w:val="20"/>
              </w:rPr>
              <w:t xml:space="preserve">&gt; 0% = BLOCK (Critical)</w:t>
            </w:r>
          </w:p>
        </w:tc>
      </w:tr>
    </w:tbl>
    <w:p>
      <w:pPr>
        <w:spacing w:before="0" w:after="200"/>
      </w:pPr>
      <w:r>
        <w:rPr>
          <w:sz w:val="22"/>
          <w:szCs w:val="22"/>
        </w:rPr>
        <w:t xml:space="preserve"/>
      </w:r>
    </w:p>
    <w:p>
      <w:pPr>
        <w:pStyle w:val="Heading2"/>
        <w:spacing w:before="320" w:after="160"/>
      </w:pPr>
      <w:r>
        <w:rPr>
          <w:rFonts w:ascii="Arial" w:cs="Arial" w:eastAsia="Arial" w:hAnsi="Arial"/>
          <w:b/>
          <w:bCs/>
          <w:color w:val="2E75B6"/>
          <w:sz w:val="28"/>
          <w:szCs w:val="28"/>
        </w:rPr>
        <w:t xml:space="preserve">4.2 Domain-Specific Accuracy Breakdowns</w:t>
      </w:r>
    </w:p>
    <w:p>
      <w:pPr>
        <w:spacing w:before="80" w:after="120"/>
      </w:pPr>
      <w:r>
        <w:rPr>
          <w:rFonts w:ascii="Arial" w:cs="Arial" w:eastAsia="Arial" w:hAnsi="Arial"/>
          <w:color w:val="111827"/>
          <w:sz w:val="22"/>
          <w:szCs w:val="22"/>
        </w:rPr>
        <w:t xml:space="preserve">Beyond aggregate metrics, the PM must require domain-stratified results. A model that performs well on average but fails on Insurance queries (80% of revenue) is not launchable.</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Domain</w:t>
            </w:r>
          </w:p>
        </w:tc>
        <w:tc>
          <w:tcPr>
            <w:tcW w:type="dxa" w:w="24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Recall Target</w:t>
            </w:r>
          </w:p>
        </w:tc>
        <w:tc>
          <w:tcPr>
            <w:tcW w:type="dxa" w:w="24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Correctness Target</w:t>
            </w:r>
          </w:p>
        </w:tc>
        <w:tc>
          <w:tcPr>
            <w:tcW w:type="dxa" w:w="24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Priority Weight</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92%</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96%</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(weighted 2x in scoring)</w:t>
            </w:r>
          </w:p>
        </w:tc>
      </w:tr>
      <w:tr>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Banking</w:t>
            </w:r>
          </w:p>
        </w:tc>
        <w:tc>
          <w:tcPr>
            <w:tcW w:type="dxa" w:w="24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88%</w:t>
            </w:r>
          </w:p>
        </w:tc>
        <w:tc>
          <w:tcPr>
            <w:tcW w:type="dxa" w:w="24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93%</w:t>
            </w:r>
          </w:p>
        </w:tc>
        <w:tc>
          <w:tcPr>
            <w:tcW w:type="dxa" w:w="24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Sector</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85%</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90%</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Complex Queries (Joins + Time Series)</w:t>
            </w:r>
          </w:p>
        </w:tc>
        <w:tc>
          <w:tcPr>
            <w:tcW w:type="dxa" w:w="24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80%</w:t>
            </w:r>
          </w:p>
        </w:tc>
        <w:tc>
          <w:tcPr>
            <w:tcW w:type="dxa" w:w="24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88%</w:t>
            </w:r>
          </w:p>
        </w:tc>
        <w:tc>
          <w:tcPr>
            <w:tcW w:type="dxa" w:w="242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TRACKED separately</w:t>
            </w:r>
          </w:p>
        </w:tc>
      </w:tr>
    </w:tbl>
    <w:p>
      <w:pPr>
        <w:spacing w:before="0" w:after="200"/>
      </w:pPr>
      <w:r>
        <w:rPr>
          <w:sz w:val="22"/>
          <w:szCs w:val="22"/>
        </w:rPr>
        <w:t xml:space="preserve"/>
      </w:r>
    </w:p>
    <w:p>
      <w:pPr>
        <w:pStyle w:val="Heading2"/>
        <w:spacing w:before="320" w:after="160"/>
      </w:pPr>
      <w:r>
        <w:rPr>
          <w:rFonts w:ascii="Arial" w:cs="Arial" w:eastAsia="Arial" w:hAnsi="Arial"/>
          <w:b/>
          <w:bCs/>
          <w:color w:val="2E75B6"/>
          <w:sz w:val="28"/>
          <w:szCs w:val="28"/>
        </w:rPr>
        <w:t xml:space="preserve">4.3 Launch Gate Scorecard</w:t>
      </w:r>
    </w:p>
    <w:p>
      <w:pPr>
        <w:spacing w:before="80" w:after="120"/>
      </w:pPr>
      <w:r>
        <w:rPr>
          <w:rFonts w:ascii="Arial" w:cs="Arial" w:eastAsia="Arial" w:hAnsi="Arial"/>
          <w:color w:val="111827"/>
          <w:sz w:val="22"/>
          <w:szCs w:val="22"/>
        </w:rPr>
        <w:t xml:space="preserve">The PM presents this scorecard at the launch review. Each metric must pass its threshold for a go decision. Any BLOCK-level failure requires an engineering fix before the next review cycle.</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Launch Gate Criterion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Result</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Recall &gt;= 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 NO-GO</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Correctness &gt;= 95%</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95%</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GO / NO-GO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Relevance &gt;= 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 NO-GO</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P95 Latency &lt; 8s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&lt; 8s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GO / NO-GO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Hallucination Rate &lt;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 NO-GO</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Permission Violations = 0</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0 violations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GO / NO-GO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 Domain Recall &gt;= 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 NO-GO</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3H Framework Audit Passed</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All criteria met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GO / NO-GO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Eval Sample (n=100) Pass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85% approval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 / NO-GO</w:t>
            </w:r>
          </w:p>
        </w:tc>
      </w:tr>
    </w:tbl>
    <w:p>
      <w:pPr>
        <w:spacing w:before="0" w:after="200"/>
      </w:pPr>
      <w:r>
        <w:rPr>
          <w:sz w:val="22"/>
          <w:szCs w:val="22"/>
        </w:rPr>
        <w:t xml:space="preserve"/>
      </w:r>
    </w:p>
    <w:p>
      <w:pPr>
        <w:pStyle w:val="Heading1"/>
        <w:pBdr>
          <w:bottom w:val="single" w:color="2E75B6" w:sz="6" w:space="6"/>
        </w:pBdr>
        <w:spacing w:before="400" w:after="200"/>
      </w:pPr>
      <w:r>
        <w:rPr>
          <w:rFonts w:ascii="Arial" w:cs="Arial" w:eastAsia="Arial" w:hAnsi="Arial"/>
          <w:b/>
          <w:bCs/>
          <w:color w:val="1F3864"/>
          <w:sz w:val="36"/>
          <w:szCs w:val="36"/>
        </w:rPr>
        <w:t xml:space="preserve">5. The 3H Framework: Helpful, Honest, Harmless</w:t>
      </w:r>
    </w:p>
    <w:p>
      <w:pPr>
        <w:spacing w:before="80" w:after="120"/>
      </w:pPr>
      <w:r>
        <w:rPr>
          <w:rFonts w:ascii="Arial" w:cs="Arial" w:eastAsia="Arial" w:hAnsi="Arial"/>
          <w:color w:val="111827"/>
          <w:sz w:val="22"/>
          <w:szCs w:val="22"/>
        </w:rPr>
        <w:t xml:space="preserve">The 3H framework is a responsible AI evaluation lens that every PM should apply before launching any AI-powered feature. In the context of a B2B fraud detection platform like ClearSpeed, each dimension has specific and high-stakes implications. Below is how a PM should apply each dimension.</w:t>
      </w:r>
    </w:p>
    <w:p>
      <w:pPr>
        <w:spacing w:before="0" w:after="100"/>
      </w:pPr>
      <w:r>
        <w:rPr>
          <w:sz w:val="22"/>
          <w:szCs w:val="22"/>
        </w:rPr>
        <w:t xml:space="preserve"/>
      </w:r>
    </w:p>
    <w:p>
      <w:pPr>
        <w:pStyle w:val="Heading2"/>
        <w:spacing w:before="320" w:after="160"/>
      </w:pPr>
      <w:r>
        <w:rPr>
          <w:rFonts w:ascii="Arial" w:cs="Arial" w:eastAsia="Arial" w:hAnsi="Arial"/>
          <w:b/>
          <w:bCs/>
          <w:color w:val="166534"/>
          <w:sz w:val="28"/>
          <w:szCs w:val="28"/>
        </w:rPr>
        <w:t xml:space="preserve">5.1 Helpful</w:t>
      </w:r>
    </w:p>
    <w:p>
      <w:pPr>
        <w:spacing w:before="80" w:after="120"/>
      </w:pPr>
      <w:r>
        <w:rPr>
          <w:rFonts w:ascii="Arial" w:cs="Arial" w:eastAsia="Arial" w:hAnsi="Arial"/>
          <w:color w:val="111827"/>
          <w:sz w:val="22"/>
          <w:szCs w:val="22"/>
        </w:rPr>
        <w:t xml:space="preserve">The system is Helpful if it accurately and efficiently serves the intended user's business need — enabling better fraud decisions, faster claims processing, and clearer risk visibility.</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66534" w:val="clear"/>
            <w:tcMar>
              <w:top w:type="dxa" w:w="120"/>
              <w:left w:type="dxa" w:w="180"/>
              <w:bottom w:type="dxa" w:w="120"/>
              <w:right w:type="dxa" w:w="180"/>
            </w:tcMar>
          </w:tcPr>
          <w:p>
            <w:r>
              <w:rPr>
                <w:rFonts w:ascii="Arial" w:cs="Arial" w:eastAsia="Arial" w:hAnsi="Arial"/>
                <w:b/>
                <w:bCs/>
                <w:color w:val="FFFFFF"/>
                <w:sz w:val="24"/>
                <w:szCs w:val="24"/>
              </w:rPr>
              <w:t xml:space="preserve">Helpful — Evaluation Criteria</w:t>
            </w:r>
          </w:p>
        </w:tc>
      </w:tr>
      <w:tr>
        <w:tc>
          <w:tcPr>
            <w:tcW w:type="dxa" w:w="9360"/>
            <w:tcBorders>
              <w:top w:val="single" w:color="CCCCCC" w:sz="1"/>
              <w:left w:val="single" w:color="CCCCCC" w:sz="1"/>
              <w:bottom w:val="single" w:color="CCCCCC" w:sz="1"/>
              <w:right w:val="single" w:color="CCCCCC" w:sz="1"/>
            </w:tcBorders>
            <w:shd w:fill="F0FDF4" w:val="clear"/>
            <w:tcMar>
              <w:top w:type="dxa" w:w="120"/>
              <w:left w:type="dxa" w:w="180"/>
              <w:bottom w:type="dxa" w:w="120"/>
              <w:right w:type="dxa" w:w="180"/>
            </w:tcMar>
          </w:tcPr>
          <w:p>
            <w:pPr>
              <w:spacing w:before="60" w:after="80"/>
            </w:pPr>
            <w:r>
              <w:rPr>
                <w:rFonts w:ascii="Arial" w:cs="Arial" w:eastAsia="Arial" w:hAnsi="Arial"/>
                <w:b/>
                <w:bCs/>
                <w:sz w:val="22"/>
                <w:szCs w:val="22"/>
              </w:rPr>
              <w:t xml:space="preserve">What does 'Helpful' mean for ClearSpeed users?</w:t>
            </w:r>
          </w:p>
          <w:p>
            <w:pPr>
              <w:pStyle w:val="ListParagraph"/>
              <w:numPr>
                <w:ilvl w:val="0"/>
                <w:numId w:val="2"/>
              </w:numPr>
              <w:spacing w:before="60" w:after="60"/>
            </w:pPr>
            <w:r>
              <w:rPr>
                <w:rFonts w:ascii="Arial" w:cs="Arial" w:eastAsia="Arial" w:hAnsi="Arial"/>
                <w:b w:val="false"/>
                <w:bCs w:val="false"/>
                <w:color w:val="111827"/>
                <w:sz w:val="22"/>
                <w:szCs w:val="22"/>
              </w:rPr>
              <w:t xml:space="preserve">Claims Adjusters can self-serve risk queries without escalating to data teams</w:t>
            </w:r>
          </w:p>
          <w:p>
            <w:pPr>
              <w:pStyle w:val="ListParagraph"/>
              <w:numPr>
                <w:ilvl w:val="0"/>
                <w:numId w:val="2"/>
              </w:numPr>
              <w:spacing w:before="60" w:after="60"/>
            </w:pPr>
            <w:r>
              <w:rPr>
                <w:rFonts w:ascii="Arial" w:cs="Arial" w:eastAsia="Arial" w:hAnsi="Arial"/>
                <w:b w:val="false"/>
                <w:bCs w:val="false"/>
                <w:color w:val="111827"/>
                <w:sz w:val="22"/>
                <w:szCs w:val="22"/>
              </w:rPr>
              <w:t xml:space="preserve">Chief Claims Officers can get portfolio-level fraud insights in seconds, not days</w:t>
            </w:r>
          </w:p>
          <w:p>
            <w:pPr>
              <w:pStyle w:val="ListParagraph"/>
              <w:numPr>
                <w:ilvl w:val="0"/>
                <w:numId w:val="2"/>
              </w:numPr>
              <w:spacing w:before="60" w:after="60"/>
            </w:pPr>
            <w:r>
              <w:rPr>
                <w:rFonts w:ascii="Arial" w:cs="Arial" w:eastAsia="Arial" w:hAnsi="Arial"/>
                <w:b w:val="false"/>
                <w:bCs w:val="false"/>
                <w:color w:val="111827"/>
                <w:sz w:val="22"/>
                <w:szCs w:val="22"/>
              </w:rPr>
              <w:t xml:space="preserve">Queries return actionable data — not empty results or irrelevant tables</w:t>
            </w:r>
          </w:p>
          <w:p>
            <w:pPr>
              <w:pStyle w:val="ListParagraph"/>
              <w:numPr>
                <w:ilvl w:val="0"/>
                <w:numId w:val="2"/>
              </w:numPr>
              <w:spacing w:before="60" w:after="60"/>
            </w:pPr>
            <w:r>
              <w:rPr>
                <w:rFonts w:ascii="Arial" w:cs="Arial" w:eastAsia="Arial" w:hAnsi="Arial"/>
                <w:b w:val="false"/>
                <w:bCs w:val="false"/>
                <w:color w:val="111827"/>
                <w:sz w:val="22"/>
                <w:szCs w:val="22"/>
              </w:rPr>
              <w:t xml:space="preserve">The RAG fallback appropriately handles ambiguous or novel queries</w:t>
            </w:r>
          </w:p>
          <w:p>
            <w:pPr>
              <w:pStyle w:val="ListParagraph"/>
              <w:numPr>
                <w:ilvl w:val="0"/>
                <w:numId w:val="2"/>
              </w:numPr>
              <w:spacing w:before="60" w:after="60"/>
            </w:pPr>
            <w:r>
              <w:rPr>
                <w:rFonts w:ascii="Arial" w:cs="Arial" w:eastAsia="Arial" w:hAnsi="Arial"/>
                <w:b w:val="false"/>
                <w:bCs w:val="false"/>
                <w:color w:val="111827"/>
                <w:sz w:val="22"/>
                <w:szCs w:val="22"/>
              </w:rPr>
              <w:t xml:space="preserve">Dashboards and NLP interface answer the business questions defined in customer interviews</w:t>
            </w:r>
          </w:p>
          <w:p>
            <w:pPr>
              <w:spacing w:before="0" w:after="100"/>
            </w:pPr>
            <w:r>
              <w:rPr>
                <w:sz w:val="22"/>
                <w:szCs w:val="22"/>
              </w:rPr>
              <w:t xml:space="preserve"/>
            </w:r>
          </w:p>
          <w:p>
            <w:pPr>
              <w:spacing w:before="60" w:after="80"/>
            </w:pPr>
            <w:r>
              <w:rPr>
                <w:rFonts w:ascii="Arial" w:cs="Arial" w:eastAsia="Arial" w:hAnsi="Arial"/>
                <w:b/>
                <w:bCs/>
                <w:sz w:val="22"/>
                <w:szCs w:val="22"/>
              </w:rPr>
              <w:t xml:space="preserve">PM Eval Checkpoints:</w:t>
            </w:r>
          </w:p>
          <w:p>
            <w:pPr>
              <w:pStyle w:val="ListParagraph"/>
              <w:numPr>
                <w:ilvl w:val="0"/>
                <w:numId w:val="2"/>
              </w:numPr>
              <w:spacing w:before="60" w:after="60"/>
            </w:pPr>
            <w:r>
              <w:rPr>
                <w:rFonts w:ascii="Arial" w:cs="Arial" w:eastAsia="Arial" w:hAnsi="Arial"/>
                <w:b w:val="false"/>
                <w:bCs w:val="false"/>
                <w:color w:val="111827"/>
                <w:sz w:val="22"/>
                <w:szCs w:val="22"/>
              </w:rPr>
              <w:t xml:space="preserve">Task Completion Rate: Can a Claims Adjuster complete their top 5 weekly queries unassisted?  Target &gt;= 85%</w:t>
            </w:r>
          </w:p>
          <w:p>
            <w:pPr>
              <w:pStyle w:val="ListParagraph"/>
              <w:numPr>
                <w:ilvl w:val="0"/>
                <w:numId w:val="2"/>
              </w:numPr>
              <w:spacing w:before="60" w:after="60"/>
            </w:pPr>
            <w:r>
              <w:rPr>
                <w:rFonts w:ascii="Arial" w:cs="Arial" w:eastAsia="Arial" w:hAnsi="Arial"/>
                <w:b w:val="false"/>
                <w:bCs w:val="false"/>
                <w:color w:val="111827"/>
                <w:sz w:val="22"/>
                <w:szCs w:val="22"/>
              </w:rPr>
              <w:t xml:space="preserve">Time-to-Insight: Does NLP query beat the manual SQL method by &gt;= 50% in time? (Aligns with the 50% processing time reduction goal)</w:t>
            </w:r>
          </w:p>
          <w:p>
            <w:pPr>
              <w:pStyle w:val="ListParagraph"/>
              <w:numPr>
                <w:ilvl w:val="0"/>
                <w:numId w:val="2"/>
              </w:numPr>
              <w:spacing w:before="60" w:after="60"/>
            </w:pPr>
            <w:r>
              <w:rPr>
                <w:rFonts w:ascii="Arial" w:cs="Arial" w:eastAsia="Arial" w:hAnsi="Arial"/>
                <w:b w:val="false"/>
                <w:bCs w:val="false"/>
                <w:color w:val="111827"/>
                <w:sz w:val="22"/>
                <w:szCs w:val="22"/>
              </w:rPr>
              <w:t xml:space="preserve">Satisfaction Score: Post-query micro-survey (1-5 stars) — Target &gt;= 4.0 average at launch</w:t>
            </w:r>
          </w:p>
          <w:p>
            <w:pPr>
              <w:pStyle w:val="ListParagraph"/>
              <w:numPr>
                <w:ilvl w:val="0"/>
                <w:numId w:val="2"/>
              </w:numPr>
              <w:spacing w:before="60" w:after="60"/>
            </w:pPr>
            <w:r>
              <w:rPr>
                <w:rFonts w:ascii="Arial" w:cs="Arial" w:eastAsia="Arial" w:hAnsi="Arial"/>
                <w:b w:val="false"/>
                <w:bCs w:val="false"/>
                <w:color w:val="111827"/>
                <w:sz w:val="22"/>
                <w:szCs w:val="22"/>
              </w:rPr>
              <w:t xml:space="preserve">Persona Coverage: Eval set must cover all 3 user personas (Adjuster, CCO, Analyst) with &gt;= 30 queries each</w:t>
            </w:r>
          </w:p>
        </w:tc>
      </w:tr>
    </w:tbl>
    <w:p>
      <w:pPr>
        <w:spacing w:before="0" w:after="200"/>
      </w:pPr>
      <w:r>
        <w:rPr>
          <w:sz w:val="22"/>
          <w:szCs w:val="22"/>
        </w:rPr>
        <w:t xml:space="preserve"/>
      </w:r>
    </w:p>
    <w:p>
      <w:pPr>
        <w:pStyle w:val="Heading2"/>
        <w:spacing w:before="320" w:after="160"/>
      </w:pPr>
      <w:r>
        <w:rPr>
          <w:rFonts w:ascii="Arial" w:cs="Arial" w:eastAsia="Arial" w:hAnsi="Arial"/>
          <w:b/>
          <w:bCs/>
          <w:color w:val="92400E"/>
          <w:sz w:val="28"/>
          <w:szCs w:val="28"/>
        </w:rPr>
        <w:t xml:space="preserve">5.2 Honest</w:t>
      </w:r>
    </w:p>
    <w:p>
      <w:pPr>
        <w:spacing w:before="80" w:after="120"/>
      </w:pPr>
      <w:r>
        <w:rPr>
          <w:rFonts w:ascii="Arial" w:cs="Arial" w:eastAsia="Arial" w:hAnsi="Arial"/>
          <w:color w:val="111827"/>
          <w:sz w:val="22"/>
          <w:szCs w:val="22"/>
        </w:rPr>
        <w:t xml:space="preserve">The system is Honest if it accurately represents what it knows and does not know — avoiding confident wrong answers, fabricated data, or misleading result presentation. In fraud detection, a confidently wrong SQL result could lead to a legitimate claim being rejected or a fraudulent claim being approved.</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2400E" w:val="clear"/>
            <w:tcMar>
              <w:top w:type="dxa" w:w="120"/>
              <w:left w:type="dxa" w:w="180"/>
              <w:bottom w:type="dxa" w:w="120"/>
              <w:right w:type="dxa" w:w="180"/>
            </w:tcMar>
          </w:tcPr>
          <w:p>
            <w:r>
              <w:rPr>
                <w:rFonts w:ascii="Arial" w:cs="Arial" w:eastAsia="Arial" w:hAnsi="Arial"/>
                <w:b/>
                <w:bCs/>
                <w:color w:val="FFFFFF"/>
                <w:sz w:val="24"/>
                <w:szCs w:val="24"/>
              </w:rPr>
              <w:t xml:space="preserve">Honest — Evaluation Criteria</w:t>
            </w:r>
          </w:p>
        </w:tc>
      </w:tr>
      <w:tr>
        <w:tc>
          <w:tcPr>
            <w:tcW w:type="dxa" w:w="9360"/>
            <w:tcBorders>
              <w:top w:val="single" w:color="CCCCCC" w:sz="1"/>
              <w:left w:val="single" w:color="CCCCCC" w:sz="1"/>
              <w:bottom w:val="single" w:color="CCCCCC" w:sz="1"/>
              <w:right w:val="single" w:color="CCCCCC" w:sz="1"/>
            </w:tcBorders>
            <w:shd w:fill="FFFBEB" w:val="clear"/>
            <w:tcMar>
              <w:top w:type="dxa" w:w="120"/>
              <w:left w:type="dxa" w:w="180"/>
              <w:bottom w:type="dxa" w:w="120"/>
              <w:right w:type="dxa" w:w="180"/>
            </w:tcMar>
          </w:tcPr>
          <w:p>
            <w:pPr>
              <w:spacing w:before="60" w:after="80"/>
            </w:pPr>
            <w:r>
              <w:rPr>
                <w:rFonts w:ascii="Arial" w:cs="Arial" w:eastAsia="Arial" w:hAnsi="Arial"/>
                <w:b/>
                <w:bCs/>
                <w:sz w:val="22"/>
                <w:szCs w:val="22"/>
              </w:rPr>
              <w:t xml:space="preserve">What does 'Honest' mean for ClearSpeed?</w:t>
            </w:r>
          </w:p>
          <w:p>
            <w:pPr>
              <w:pStyle w:val="ListParagraph"/>
              <w:numPr>
                <w:ilvl w:val="0"/>
                <w:numId w:val="2"/>
              </w:numPr>
              <w:spacing w:before="60" w:after="60"/>
            </w:pPr>
            <w:r>
              <w:rPr>
                <w:rFonts w:ascii="Arial" w:cs="Arial" w:eastAsia="Arial" w:hAnsi="Arial"/>
                <w:b w:val="false"/>
                <w:bCs w:val="false"/>
                <w:color w:val="111827"/>
                <w:sz w:val="22"/>
                <w:szCs w:val="22"/>
              </w:rPr>
              <w:t xml:space="preserve">The system does NOT return fabricated data rows when SQL fails</w:t>
            </w:r>
          </w:p>
          <w:p>
            <w:pPr>
              <w:pStyle w:val="ListParagraph"/>
              <w:numPr>
                <w:ilvl w:val="0"/>
                <w:numId w:val="2"/>
              </w:numPr>
              <w:spacing w:before="60" w:after="60"/>
            </w:pPr>
            <w:r>
              <w:rPr>
                <w:rFonts w:ascii="Arial" w:cs="Arial" w:eastAsia="Arial" w:hAnsi="Arial"/>
                <w:b w:val="false"/>
                <w:bCs w:val="false"/>
                <w:color w:val="111827"/>
                <w:sz w:val="22"/>
                <w:szCs w:val="22"/>
              </w:rPr>
              <w:t xml:space="preserve">When a query is ambiguous, the system asks a clarifying question rather than guessing</w:t>
            </w:r>
          </w:p>
          <w:p>
            <w:pPr>
              <w:pStyle w:val="ListParagraph"/>
              <w:numPr>
                <w:ilvl w:val="0"/>
                <w:numId w:val="2"/>
              </w:numPr>
              <w:spacing w:before="60" w:after="60"/>
            </w:pPr>
            <w:r>
              <w:rPr>
                <w:rFonts w:ascii="Arial" w:cs="Arial" w:eastAsia="Arial" w:hAnsi="Arial"/>
                <w:b w:val="false"/>
                <w:bCs w:val="false"/>
                <w:color w:val="111827"/>
                <w:sz w:val="22"/>
                <w:szCs w:val="22"/>
              </w:rPr>
              <w:t xml:space="preserve">Empty results are surfaced to the user clearly — not silently resolved with wrong data</w:t>
            </w:r>
          </w:p>
          <w:p>
            <w:pPr>
              <w:pStyle w:val="ListParagraph"/>
              <w:numPr>
                <w:ilvl w:val="0"/>
                <w:numId w:val="2"/>
              </w:numPr>
              <w:spacing w:before="60" w:after="60"/>
            </w:pPr>
            <w:r>
              <w:rPr>
                <w:rFonts w:ascii="Arial" w:cs="Arial" w:eastAsia="Arial" w:hAnsi="Arial"/>
                <w:b w:val="false"/>
                <w:bCs w:val="false"/>
                <w:color w:val="111827"/>
                <w:sz w:val="22"/>
                <w:szCs w:val="22"/>
              </w:rPr>
              <w:t xml:space="preserve">The generated SQL is transparent — users should be able to see the SQL that was run</w:t>
            </w:r>
          </w:p>
          <w:p>
            <w:pPr>
              <w:pStyle w:val="ListParagraph"/>
              <w:numPr>
                <w:ilvl w:val="0"/>
                <w:numId w:val="2"/>
              </w:numPr>
              <w:spacing w:before="60" w:after="60"/>
            </w:pPr>
            <w:r>
              <w:rPr>
                <w:rFonts w:ascii="Arial" w:cs="Arial" w:eastAsia="Arial" w:hAnsi="Arial"/>
                <w:b w:val="false"/>
                <w:bCs w:val="false"/>
                <w:color w:val="111827"/>
                <w:sz w:val="22"/>
                <w:szCs w:val="22"/>
              </w:rPr>
              <w:t xml:space="preserve">The system does not confidently answer queries outside its domain (e.g., cross-tenant comparison)</w:t>
            </w:r>
          </w:p>
          <w:p>
            <w:pPr>
              <w:pStyle w:val="ListParagraph"/>
              <w:numPr>
                <w:ilvl w:val="0"/>
                <w:numId w:val="2"/>
              </w:numPr>
              <w:spacing w:before="60" w:after="60"/>
            </w:pPr>
            <w:r>
              <w:rPr>
                <w:rFonts w:ascii="Arial" w:cs="Arial" w:eastAsia="Arial" w:hAnsi="Arial"/>
                <w:b w:val="false"/>
                <w:bCs w:val="false"/>
                <w:color w:val="111827"/>
                <w:sz w:val="22"/>
                <w:szCs w:val="22"/>
              </w:rPr>
              <w:t xml:space="preserve">Result provenance is shown: 'Based on data from Claims table, Jan-Mar 2024'</w:t>
            </w:r>
          </w:p>
          <w:p>
            <w:pPr>
              <w:spacing w:before="0" w:after="100"/>
            </w:pPr>
            <w:r>
              <w:rPr>
                <w:sz w:val="22"/>
                <w:szCs w:val="22"/>
              </w:rPr>
              <w:t xml:space="preserve"/>
            </w:r>
          </w:p>
          <w:p>
            <w:pPr>
              <w:spacing w:before="60" w:after="80"/>
            </w:pPr>
            <w:r>
              <w:rPr>
                <w:rFonts w:ascii="Arial" w:cs="Arial" w:eastAsia="Arial" w:hAnsi="Arial"/>
                <w:b/>
                <w:bCs/>
                <w:sz w:val="22"/>
                <w:szCs w:val="22"/>
              </w:rPr>
              <w:t xml:space="preserve">PM Eval Checkpoints:</w:t>
            </w:r>
          </w:p>
          <w:p>
            <w:pPr>
              <w:pStyle w:val="ListParagraph"/>
              <w:numPr>
                <w:ilvl w:val="0"/>
                <w:numId w:val="2"/>
              </w:numPr>
              <w:spacing w:before="60" w:after="60"/>
            </w:pPr>
            <w:r>
              <w:rPr>
                <w:rFonts w:ascii="Arial" w:cs="Arial" w:eastAsia="Arial" w:hAnsi="Arial"/>
                <w:b w:val="false"/>
                <w:bCs w:val="false"/>
                <w:color w:val="111827"/>
                <w:sz w:val="22"/>
                <w:szCs w:val="22"/>
              </w:rPr>
              <w:t xml:space="preserve">Hallucination Rate &lt; 2%: SQL must not reference non-existent columns or tables</w:t>
            </w:r>
          </w:p>
          <w:p>
            <w:pPr>
              <w:pStyle w:val="ListParagraph"/>
              <w:numPr>
                <w:ilvl w:val="0"/>
                <w:numId w:val="2"/>
              </w:numPr>
              <w:spacing w:before="60" w:after="60"/>
            </w:pPr>
            <w:r>
              <w:rPr>
                <w:rFonts w:ascii="Arial" w:cs="Arial" w:eastAsia="Arial" w:hAnsi="Arial"/>
                <w:b w:val="false"/>
                <w:bCs w:val="false"/>
                <w:color w:val="111827"/>
                <w:sz w:val="22"/>
                <w:szCs w:val="22"/>
              </w:rPr>
              <w:t xml:space="preserve">Out-of-Scope Detection Rate &gt;= 90%: System correctly declines to answer out-of-scope queries</w:t>
            </w:r>
          </w:p>
          <w:p>
            <w:pPr>
              <w:pStyle w:val="ListParagraph"/>
              <w:numPr>
                <w:ilvl w:val="0"/>
                <w:numId w:val="2"/>
              </w:numPr>
              <w:spacing w:before="60" w:after="60"/>
            </w:pPr>
            <w:r>
              <w:rPr>
                <w:rFonts w:ascii="Arial" w:cs="Arial" w:eastAsia="Arial" w:hAnsi="Arial"/>
                <w:b w:val="false"/>
                <w:bCs w:val="false"/>
                <w:color w:val="111827"/>
                <w:sz w:val="22"/>
                <w:szCs w:val="22"/>
              </w:rPr>
              <w:t xml:space="preserve">Ambiguity Handling: When query maps to multiple valid interpretations, system presents options — not a single wrong answer</w:t>
            </w:r>
          </w:p>
          <w:p>
            <w:pPr>
              <w:pStyle w:val="ListParagraph"/>
              <w:numPr>
                <w:ilvl w:val="0"/>
                <w:numId w:val="2"/>
              </w:numPr>
              <w:spacing w:before="60" w:after="60"/>
            </w:pPr>
            <w:r>
              <w:rPr>
                <w:rFonts w:ascii="Arial" w:cs="Arial" w:eastAsia="Arial" w:hAnsi="Arial"/>
                <w:b w:val="false"/>
                <w:bCs w:val="false"/>
                <w:color w:val="111827"/>
                <w:sz w:val="22"/>
                <w:szCs w:val="22"/>
              </w:rPr>
              <w:t xml:space="preserve">SQL Transparency: Generated SQL is shown in UI with a 'View Query' toggle (non-negotiable UX requirement)</w:t>
            </w:r>
          </w:p>
          <w:p>
            <w:pPr>
              <w:pStyle w:val="ListParagraph"/>
              <w:numPr>
                <w:ilvl w:val="0"/>
                <w:numId w:val="2"/>
              </w:numPr>
              <w:spacing w:before="60" w:after="60"/>
            </w:pPr>
            <w:r>
              <w:rPr>
                <w:rFonts w:ascii="Arial" w:cs="Arial" w:eastAsia="Arial" w:hAnsi="Arial"/>
                <w:b w:val="false"/>
                <w:bCs w:val="false"/>
                <w:color w:val="111827"/>
                <w:sz w:val="22"/>
                <w:szCs w:val="22"/>
              </w:rPr>
              <w:t xml:space="preserve">Confidence Signaling: Low-confidence results flagged with a warning icon and 'Verify with data team' message</w:t>
            </w:r>
          </w:p>
        </w:tc>
      </w:tr>
    </w:tbl>
    <w:p>
      <w:pPr>
        <w:spacing w:before="0" w:after="200"/>
      </w:pPr>
      <w:r>
        <w:rPr>
          <w:sz w:val="22"/>
          <w:szCs w:val="22"/>
        </w:rPr>
        <w:t xml:space="preserve"/>
      </w:r>
    </w:p>
    <w:p>
      <w:pPr>
        <w:pStyle w:val="Heading2"/>
        <w:spacing w:before="320" w:after="160"/>
      </w:pPr>
      <w:r>
        <w:rPr>
          <w:rFonts w:ascii="Arial" w:cs="Arial" w:eastAsia="Arial" w:hAnsi="Arial"/>
          <w:b/>
          <w:bCs/>
          <w:color w:val="9B1C1C"/>
          <w:sz w:val="28"/>
          <w:szCs w:val="28"/>
        </w:rPr>
        <w:t xml:space="preserve">5.3 Harmless</w:t>
      </w:r>
    </w:p>
    <w:p>
      <w:pPr>
        <w:spacing w:before="80" w:after="120"/>
      </w:pPr>
      <w:r>
        <w:rPr>
          <w:rFonts w:ascii="Arial" w:cs="Arial" w:eastAsia="Arial" w:hAnsi="Arial"/>
          <w:color w:val="111827"/>
          <w:sz w:val="22"/>
          <w:szCs w:val="22"/>
        </w:rPr>
        <w:t xml:space="preserve">The system is Harmless if it does not expose sensitive data, violate tenant data boundaries, enable unauthorized access, introduce bias into fraud scoring, or produce outputs that could harm customers of ClearSpeed's clients. This is the highest-risk dimension for a platform handling fraud and PII data.</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9B1C1C" w:val="clear"/>
            <w:tcMar>
              <w:top w:type="dxa" w:w="120"/>
              <w:left w:type="dxa" w:w="180"/>
              <w:bottom w:type="dxa" w:w="120"/>
              <w:right w:type="dxa" w:w="180"/>
            </w:tcMar>
          </w:tcPr>
          <w:p>
            <w:r>
              <w:rPr>
                <w:rFonts w:ascii="Arial" w:cs="Arial" w:eastAsia="Arial" w:hAnsi="Arial"/>
                <w:b/>
                <w:bCs/>
                <w:color w:val="FFFFFF"/>
                <w:sz w:val="24"/>
                <w:szCs w:val="24"/>
              </w:rPr>
              <w:t xml:space="preserve">Harmless — Evaluation Criteria</w:t>
            </w:r>
          </w:p>
        </w:tc>
      </w:tr>
      <w:tr>
        <w:tc>
          <w:tcPr>
            <w:tcW w:type="dxa" w:w="9360"/>
            <w:tcBorders>
              <w:top w:val="single" w:color="CCCCCC" w:sz="1"/>
              <w:left w:val="single" w:color="CCCCCC" w:sz="1"/>
              <w:bottom w:val="single" w:color="CCCCCC" w:sz="1"/>
              <w:right w:val="single" w:color="CCCCCC" w:sz="1"/>
            </w:tcBorders>
            <w:shd w:fill="FEF2F2" w:val="clear"/>
            <w:tcMar>
              <w:top w:type="dxa" w:w="120"/>
              <w:left w:type="dxa" w:w="180"/>
              <w:bottom w:type="dxa" w:w="120"/>
              <w:right w:type="dxa" w:w="180"/>
            </w:tcMar>
          </w:tcPr>
          <w:p>
            <w:pPr>
              <w:spacing w:before="60" w:after="80"/>
            </w:pPr>
            <w:r>
              <w:rPr>
                <w:rFonts w:ascii="Arial" w:cs="Arial" w:eastAsia="Arial" w:hAnsi="Arial"/>
                <w:b/>
                <w:bCs/>
                <w:sz w:val="22"/>
                <w:szCs w:val="22"/>
              </w:rPr>
              <w:t xml:space="preserve">What does 'Harmless' mean for ClearSpeed?</w:t>
            </w:r>
          </w:p>
          <w:p>
            <w:pPr>
              <w:pStyle w:val="ListParagraph"/>
              <w:numPr>
                <w:ilvl w:val="0"/>
                <w:numId w:val="2"/>
              </w:numPr>
              <w:spacing w:before="60" w:after="60"/>
            </w:pPr>
            <w:r>
              <w:rPr>
                <w:rFonts w:ascii="Arial" w:cs="Arial" w:eastAsia="Arial" w:hAnsi="Arial"/>
                <w:b w:val="false"/>
                <w:bCs w:val="false"/>
                <w:color w:val="111827"/>
                <w:sz w:val="22"/>
                <w:szCs w:val="22"/>
              </w:rPr>
              <w:t xml:space="preserve">Data Privacy: No query can access PII that has been redacted in the transform layer</w:t>
            </w:r>
          </w:p>
          <w:p>
            <w:pPr>
              <w:pStyle w:val="ListParagraph"/>
              <w:numPr>
                <w:ilvl w:val="0"/>
                <w:numId w:val="2"/>
              </w:numPr>
              <w:spacing w:before="60" w:after="60"/>
            </w:pPr>
            <w:r>
              <w:rPr>
                <w:rFonts w:ascii="Arial" w:cs="Arial" w:eastAsia="Arial" w:hAnsi="Arial"/>
                <w:b w:val="false"/>
                <w:bCs w:val="false"/>
                <w:color w:val="111827"/>
                <w:sz w:val="22"/>
                <w:szCs w:val="22"/>
              </w:rPr>
              <w:t xml:space="preserve">Tenant Isolation: Lake Formation permissions are enforced BEFORE query execution — a tenant's query cannot reference another tenant's data, even if the LLM generates SQL that attempts this</w:t>
            </w:r>
          </w:p>
          <w:p>
            <w:pPr>
              <w:pStyle w:val="ListParagraph"/>
              <w:numPr>
                <w:ilvl w:val="0"/>
                <w:numId w:val="2"/>
              </w:numPr>
              <w:spacing w:before="60" w:after="60"/>
            </w:pPr>
            <w:r>
              <w:rPr>
                <w:rFonts w:ascii="Arial" w:cs="Arial" w:eastAsia="Arial" w:hAnsi="Arial"/>
                <w:b w:val="false"/>
                <w:bCs w:val="false"/>
                <w:color w:val="111827"/>
                <w:sz w:val="22"/>
                <w:szCs w:val="22"/>
              </w:rPr>
              <w:t xml:space="preserve">Bias Auditing: SQL outputs should not disproportionately flag claims from specific demographic groups as high-risk (requires periodic audit with domain experts)</w:t>
            </w:r>
          </w:p>
          <w:p>
            <w:pPr>
              <w:pStyle w:val="ListParagraph"/>
              <w:numPr>
                <w:ilvl w:val="0"/>
                <w:numId w:val="2"/>
              </w:numPr>
              <w:spacing w:before="60" w:after="60"/>
            </w:pPr>
            <w:r>
              <w:rPr>
                <w:rFonts w:ascii="Arial" w:cs="Arial" w:eastAsia="Arial" w:hAnsi="Arial"/>
                <w:b w:val="false"/>
                <w:bCs w:val="false"/>
                <w:color w:val="111827"/>
                <w:sz w:val="22"/>
                <w:szCs w:val="22"/>
              </w:rPr>
              <w:t xml:space="preserve">Regulatory Compliance: Queries touching health or financial data must comply with HIPAA / GDPR / CCPA depending on client region</w:t>
            </w:r>
          </w:p>
          <w:p>
            <w:pPr>
              <w:pStyle w:val="ListParagraph"/>
              <w:numPr>
                <w:ilvl w:val="0"/>
                <w:numId w:val="2"/>
              </w:numPr>
              <w:spacing w:before="60" w:after="60"/>
            </w:pPr>
            <w:r>
              <w:rPr>
                <w:rFonts w:ascii="Arial" w:cs="Arial" w:eastAsia="Arial" w:hAnsi="Arial"/>
                <w:b w:val="false"/>
                <w:bCs w:val="false"/>
                <w:color w:val="111827"/>
                <w:sz w:val="22"/>
                <w:szCs w:val="22"/>
              </w:rPr>
              <w:t xml:space="preserve">Audit Trail: Every query, its generated SQL, and its result must be logged immutably for compliance</w:t>
            </w:r>
          </w:p>
          <w:p>
            <w:pPr>
              <w:pStyle w:val="ListParagraph"/>
              <w:numPr>
                <w:ilvl w:val="0"/>
                <w:numId w:val="2"/>
              </w:numPr>
              <w:spacing w:before="60" w:after="60"/>
            </w:pPr>
            <w:r>
              <w:rPr>
                <w:rFonts w:ascii="Arial" w:cs="Arial" w:eastAsia="Arial" w:hAnsi="Arial"/>
                <w:b w:val="false"/>
                <w:bCs w:val="false"/>
                <w:color w:val="111827"/>
                <w:sz w:val="22"/>
                <w:szCs w:val="22"/>
              </w:rPr>
              <w:t xml:space="preserve">No Raw Audio Access: The NLP interface must not be able to generate queries that retrieve raw audio file paths or transcripts — these are out of scope by design</w:t>
            </w:r>
          </w:p>
          <w:p>
            <w:pPr>
              <w:spacing w:before="0" w:after="100"/>
            </w:pPr>
            <w:r>
              <w:rPr>
                <w:sz w:val="22"/>
                <w:szCs w:val="22"/>
              </w:rPr>
              <w:t xml:space="preserve"/>
            </w:r>
          </w:p>
          <w:p>
            <w:pPr>
              <w:spacing w:before="60" w:after="80"/>
            </w:pPr>
            <w:r>
              <w:rPr>
                <w:rFonts w:ascii="Arial" w:cs="Arial" w:eastAsia="Arial" w:hAnsi="Arial"/>
                <w:b/>
                <w:bCs/>
                <w:sz w:val="22"/>
                <w:szCs w:val="22"/>
              </w:rPr>
              <w:t xml:space="preserve">PM Eval Checkpoints:</w:t>
            </w:r>
          </w:p>
          <w:p>
            <w:pPr>
              <w:pStyle w:val="ListParagraph"/>
              <w:numPr>
                <w:ilvl w:val="0"/>
                <w:numId w:val="2"/>
              </w:numPr>
              <w:spacing w:before="60" w:after="60"/>
            </w:pPr>
            <w:r>
              <w:rPr>
                <w:rFonts w:ascii="Arial" w:cs="Arial" w:eastAsia="Arial" w:hAnsi="Arial"/>
                <w:b w:val="false"/>
                <w:bCs w:val="false"/>
                <w:color w:val="111827"/>
                <w:sz w:val="22"/>
                <w:szCs w:val="22"/>
              </w:rPr>
              <w:t xml:space="preserve">Permission Violation Test: Red-team testing with queries designed to access cross-tenant data — must return 0 violations</w:t>
            </w:r>
          </w:p>
          <w:p>
            <w:pPr>
              <w:pStyle w:val="ListParagraph"/>
              <w:numPr>
                <w:ilvl w:val="0"/>
                <w:numId w:val="2"/>
              </w:numPr>
              <w:spacing w:before="60" w:after="60"/>
            </w:pPr>
            <w:r>
              <w:rPr>
                <w:rFonts w:ascii="Arial" w:cs="Arial" w:eastAsia="Arial" w:hAnsi="Arial"/>
                <w:b w:val="false"/>
                <w:bCs w:val="false"/>
                <w:color w:val="111827"/>
                <w:sz w:val="22"/>
                <w:szCs w:val="22"/>
              </w:rPr>
              <w:t xml:space="preserve">PII Leakage Test: Queries designed to surface redacted PII fields must fail at the Lake Formation layer, not the LLM layer</w:t>
            </w:r>
          </w:p>
          <w:p>
            <w:pPr>
              <w:pStyle w:val="ListParagraph"/>
              <w:numPr>
                <w:ilvl w:val="0"/>
                <w:numId w:val="2"/>
              </w:numPr>
              <w:spacing w:before="60" w:after="60"/>
            </w:pPr>
            <w:r>
              <w:rPr>
                <w:rFonts w:ascii="Arial" w:cs="Arial" w:eastAsia="Arial" w:hAnsi="Arial"/>
                <w:b w:val="false"/>
                <w:bCs w:val="false"/>
                <w:color w:val="111827"/>
                <w:sz w:val="22"/>
                <w:szCs w:val="22"/>
              </w:rPr>
              <w:t xml:space="preserve">Adversarial Query Test: SQL injection attempts via the NLP interface (e.g., 'Drop table claims') — must be blocked by query validation layer before Athena execution</w:t>
            </w:r>
          </w:p>
          <w:p>
            <w:pPr>
              <w:pStyle w:val="ListParagraph"/>
              <w:numPr>
                <w:ilvl w:val="0"/>
                <w:numId w:val="2"/>
              </w:numPr>
              <w:spacing w:before="60" w:after="60"/>
            </w:pPr>
            <w:r>
              <w:rPr>
                <w:rFonts w:ascii="Arial" w:cs="Arial" w:eastAsia="Arial" w:hAnsi="Arial"/>
                <w:b w:val="false"/>
                <w:bCs w:val="false"/>
                <w:color w:val="111827"/>
                <w:sz w:val="22"/>
                <w:szCs w:val="22"/>
              </w:rPr>
              <w:t xml:space="preserve">Bias Spot Check: Random sample of 50 flagged 'high-risk' results reviewed by domain experts for demographic disparities quarterly</w:t>
            </w:r>
          </w:p>
          <w:p>
            <w:pPr>
              <w:pStyle w:val="ListParagraph"/>
              <w:numPr>
                <w:ilvl w:val="0"/>
                <w:numId w:val="2"/>
              </w:numPr>
              <w:spacing w:before="60" w:after="60"/>
            </w:pPr>
            <w:r>
              <w:rPr>
                <w:rFonts w:ascii="Arial" w:cs="Arial" w:eastAsia="Arial" w:hAnsi="Arial"/>
                <w:b w:val="false"/>
                <w:bCs w:val="false"/>
                <w:color w:val="111827"/>
                <w:sz w:val="22"/>
                <w:szCs w:val="22"/>
              </w:rPr>
              <w:t xml:space="preserve">Compliance Sign-off: Legal and Compliance team must sign off on data handling for each new client domain before enabling NLP access</w:t>
            </w:r>
          </w:p>
        </w:tc>
      </w:tr>
    </w:tbl>
    <w:p>
      <w:pPr>
        <w:spacing w:before="0" w:after="200"/>
      </w:pPr>
      <w:r>
        <w:rPr>
          <w:sz w:val="22"/>
          <w:szCs w:val="22"/>
        </w:rPr>
        <w:t xml:space="preserve"/>
      </w:r>
    </w:p>
    <w:p>
      <w:pPr>
        <w:pStyle w:val="Heading2"/>
        <w:spacing w:before="320" w:after="160"/>
      </w:pPr>
      <w:r>
        <w:rPr>
          <w:rFonts w:ascii="Arial" w:cs="Arial" w:eastAsia="Arial" w:hAnsi="Arial"/>
          <w:b/>
          <w:bCs/>
          <w:color w:val="2E75B6"/>
          <w:sz w:val="28"/>
          <w:szCs w:val="28"/>
        </w:rPr>
        <w:t xml:space="preserve">5.4 3H Framework — Go/No-Go Summary</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430"/>
        <w:gridCol w:w="243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Key Risk for ClearSpeed</w:t>
            </w:r>
          </w:p>
        </w:tc>
        <w:tc>
          <w:tcPr>
            <w:tcW w:type="dxa" w:w="243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Hard Gate (No-Go)</w:t>
            </w:r>
          </w:p>
        </w:tc>
        <w:tc>
          <w:tcPr>
            <w:tcW w:type="dxa" w:w="243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Soft Gate (Monitor)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Helpful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cannot self-serve; ROI goals not met</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Completion &lt; 75%</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Satisfaction &lt; 4.0</w:t>
            </w:r>
          </w:p>
        </w:tc>
      </w:tr>
      <w:tr>
        <w:tc>
          <w:tcPr>
            <w:tcW w:type="dxa" w:w="1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Honest</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Fabricated results lead to wrong fraud decisions</w:t>
            </w:r>
          </w:p>
        </w:tc>
        <w:tc>
          <w:tcPr>
            <w:tcW w:type="dxa" w:w="243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Hallucination &gt; 5% or 0 transparency</w:t>
            </w:r>
          </w:p>
        </w:tc>
        <w:tc>
          <w:tcPr>
            <w:tcW w:type="dxa" w:w="243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Confidence misalignment &gt; 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Harmless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breach, PII exposure, regulatory violation</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permission violation or PII leak</w:t>
            </w:r>
          </w:p>
        </w:tc>
        <w:tc>
          <w:tcPr>
            <w:tcW w:type="dxa" w:w="2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Bias flag rate anomaly &gt; 2 std dev</w:t>
            </w:r>
          </w:p>
        </w:tc>
      </w:tr>
    </w:tbl>
    <w:p>
      <w:pPr>
        <w:spacing w:before="0" w:after="200"/>
      </w:pPr>
      <w:r>
        <w:rPr>
          <w:sz w:val="22"/>
          <w:szCs w:val="22"/>
        </w:rPr>
        <w:t xml:space="preserve"/>
      </w:r>
    </w:p>
    <w:p>
      <w:pPr>
        <w:pStyle w:val="Heading1"/>
        <w:pBdr>
          <w:bottom w:val="single" w:color="2E75B6" w:sz="6" w:space="6"/>
        </w:pBdr>
        <w:spacing w:before="400" w:after="200"/>
      </w:pPr>
      <w:r>
        <w:rPr>
          <w:rFonts w:ascii="Arial" w:cs="Arial" w:eastAsia="Arial" w:hAnsi="Arial"/>
          <w:b/>
          <w:bCs/>
          <w:color w:val="1F3864"/>
          <w:sz w:val="36"/>
          <w:szCs w:val="36"/>
        </w:rPr>
        <w:t xml:space="preserve">6. Post-Launch Monitoring &amp; Continuous Eval</w:t>
      </w:r>
    </w:p>
    <w:p>
      <w:pPr>
        <w:spacing w:before="80" w:after="120"/>
      </w:pPr>
      <w:r>
        <w:rPr>
          <w:rFonts w:ascii="Arial" w:cs="Arial" w:eastAsia="Arial" w:hAnsi="Arial"/>
          <w:color w:val="111827"/>
          <w:sz w:val="22"/>
          <w:szCs w:val="22"/>
        </w:rPr>
        <w:t xml:space="preserve">Launch is not the end of eval — it is the beginning of the production feedback loop. The PM must define an ongoing monitoring cadence.</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80"/>
        <w:gridCol w:w="22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Cadence</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Activity</w:t>
            </w:r>
          </w:p>
        </w:tc>
        <w:tc>
          <w:tcPr>
            <w:tcW w:type="dxa" w:w="22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Owner</w:t>
            </w:r>
          </w:p>
        </w:tc>
        <w:tc>
          <w:tcPr>
            <w:tcW w:type="dxa" w:w="22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0"/>
                <w:szCs w:val="20"/>
              </w:rPr>
              <w:t xml:space="preserve">Action on Regression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 null result rate and P95 latency via CloudWatch dashboard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if threshold breached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Weekly</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Sample 50 production queries — human review for relevance and correctness</w:t>
            </w:r>
          </w:p>
        </w:tc>
        <w:tc>
          <w:tcPr>
            <w:tcW w:type="dxa" w:w="2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PM + Analyst</w:t>
            </w:r>
          </w:p>
        </w:tc>
        <w:tc>
          <w:tcPr>
            <w:tcW w:type="dxa" w:w="2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Flag for retraining if &lt; 85%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offline eval run against expanded benchmark dataset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 + PM</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No-go on next release if BLOCK thresholds hit</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Quarterly</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3H audit — bias check, compliance review, hallucination trend</w:t>
            </w:r>
          </w:p>
        </w:tc>
        <w:tc>
          <w:tcPr>
            <w:tcW w:type="dxa" w:w="2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PM + Legal + Ops</w:t>
            </w:r>
          </w:p>
        </w:tc>
        <w:tc>
          <w:tcPr>
            <w:tcW w:type="dxa" w:w="22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Escalate to exec if Harmless issues found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LLM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eval pipeline re-run before routing any traffic to new model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 mode minimum 2 weeks before full rollout</w:t>
            </w:r>
          </w:p>
        </w:tc>
      </w:tr>
    </w:tbl>
    <w:p>
      <w:pPr>
        <w:spacing w:before="0" w:after="200"/>
      </w:pPr>
      <w:r>
        <w:rPr>
          <w:sz w:val="22"/>
          <w:szCs w:val="22"/>
        </w:rPr>
        <w:t xml:space="preserve"/>
      </w:r>
    </w:p>
    <w:p>
      <w:pPr>
        <w:pStyle w:val="Heading1"/>
        <w:pBdr>
          <w:bottom w:val="single" w:color="2E75B6" w:sz="6" w:space="6"/>
        </w:pBdr>
        <w:spacing w:before="400" w:after="200"/>
      </w:pPr>
      <w:r>
        <w:rPr>
          <w:rFonts w:ascii="Arial" w:cs="Arial" w:eastAsia="Arial" w:hAnsi="Arial"/>
          <w:b/>
          <w:bCs/>
          <w:color w:val="1F3864"/>
          <w:sz w:val="36"/>
          <w:szCs w:val="36"/>
        </w:rPr>
        <w:t xml:space="preserve">7. PM's Role in Eval: A Summary</w:t>
      </w:r>
    </w:p>
    <w:p>
      <w:pPr>
        <w:spacing w:before="80" w:after="120"/>
      </w:pPr>
      <w:r>
        <w:rPr>
          <w:rFonts w:ascii="Arial" w:cs="Arial" w:eastAsia="Arial" w:hAnsi="Arial"/>
          <w:color w:val="111827"/>
          <w:sz w:val="22"/>
          <w:szCs w:val="22"/>
        </w:rPr>
        <w:t xml:space="preserve">The PM is not running the code — but the PM owns the evaluation strategy. Here is a concise summary of PM responsibilities across the eval lifecycle.</w:t>
      </w:r>
    </w:p>
    <w:p>
      <w:pPr>
        <w:spacing w:before="0" w:after="10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20"/>
              <w:left w:type="dxa" w:w="180"/>
              <w:bottom w:type="dxa" w:w="120"/>
              <w:right w:type="dxa" w:w="180"/>
            </w:tcMar>
          </w:tcPr>
          <w:p>
            <w:r>
              <w:rPr>
                <w:rFonts w:ascii="Arial" w:cs="Arial" w:eastAsia="Arial" w:hAnsi="Arial"/>
                <w:b/>
                <w:bCs/>
                <w:color w:val="FFFFFF"/>
                <w:sz w:val="24"/>
                <w:szCs w:val="24"/>
              </w:rPr>
              <w:t xml:space="preserve">The PM's Eval Ownership Checklist</w:t>
            </w:r>
          </w:p>
        </w:tc>
      </w:tr>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60" w:after="80"/>
            </w:pPr>
            <w:r>
              <w:rPr>
                <w:rFonts w:ascii="Arial" w:cs="Arial" w:eastAsia="Arial" w:hAnsi="Arial"/>
                <w:b/>
                <w:bCs/>
                <w:sz w:val="22"/>
                <w:szCs w:val="22"/>
              </w:rPr>
              <w:t xml:space="preserve">Before Launch:</w:t>
            </w:r>
          </w:p>
          <w:p>
            <w:pPr>
              <w:pStyle w:val="ListParagraph"/>
              <w:numPr>
                <w:ilvl w:val="0"/>
                <w:numId w:val="2"/>
              </w:numPr>
              <w:spacing w:before="60" w:after="60"/>
            </w:pPr>
            <w:r>
              <w:rPr>
                <w:rFonts w:ascii="Arial" w:cs="Arial" w:eastAsia="Arial" w:hAnsi="Arial"/>
                <w:b w:val="false"/>
                <w:bCs w:val="false"/>
                <w:color w:val="111827"/>
                <w:sz w:val="22"/>
                <w:szCs w:val="22"/>
              </w:rPr>
              <w:t xml:space="preserve">Define query universe and out-of-scope boundaries with engineering and legal</w:t>
            </w:r>
          </w:p>
          <w:p>
            <w:pPr>
              <w:pStyle w:val="ListParagraph"/>
              <w:numPr>
                <w:ilvl w:val="0"/>
                <w:numId w:val="2"/>
              </w:numPr>
              <w:spacing w:before="60" w:after="60"/>
            </w:pPr>
            <w:r>
              <w:rPr>
                <w:rFonts w:ascii="Arial" w:cs="Arial" w:eastAsia="Arial" w:hAnsi="Arial"/>
                <w:b w:val="false"/>
                <w:bCs w:val="false"/>
                <w:color w:val="111827"/>
                <w:sz w:val="22"/>
                <w:szCs w:val="22"/>
              </w:rPr>
              <w:t xml:space="preserve">Facilitate customer discovery sessions to generate seed queries per persona</w:t>
            </w:r>
          </w:p>
          <w:p>
            <w:pPr>
              <w:pStyle w:val="ListParagraph"/>
              <w:numPr>
                <w:ilvl w:val="0"/>
                <w:numId w:val="2"/>
              </w:numPr>
              <w:spacing w:before="60" w:after="60"/>
            </w:pPr>
            <w:r>
              <w:rPr>
                <w:rFonts w:ascii="Arial" w:cs="Arial" w:eastAsia="Arial" w:hAnsi="Arial"/>
                <w:b w:val="false"/>
                <w:bCs w:val="false"/>
                <w:color w:val="111827"/>
                <w:sz w:val="22"/>
                <w:szCs w:val="22"/>
              </w:rPr>
              <w:t xml:space="preserve">Define and document all metric thresholds and launch gates</w:t>
            </w:r>
          </w:p>
          <w:p>
            <w:pPr>
              <w:pStyle w:val="ListParagraph"/>
              <w:numPr>
                <w:ilvl w:val="0"/>
                <w:numId w:val="2"/>
              </w:numPr>
              <w:spacing w:before="60" w:after="60"/>
            </w:pPr>
            <w:r>
              <w:rPr>
                <w:rFonts w:ascii="Arial" w:cs="Arial" w:eastAsia="Arial" w:hAnsi="Arial"/>
                <w:b w:val="false"/>
                <w:bCs w:val="false"/>
                <w:color w:val="111827"/>
                <w:sz w:val="22"/>
                <w:szCs w:val="22"/>
              </w:rPr>
              <w:t xml:space="preserve">Conduct 3H framework review with cross-functional stakeholders</w:t>
            </w:r>
          </w:p>
          <w:p>
            <w:pPr>
              <w:pStyle w:val="ListParagraph"/>
              <w:numPr>
                <w:ilvl w:val="0"/>
                <w:numId w:val="2"/>
              </w:numPr>
              <w:spacing w:before="60" w:after="60"/>
            </w:pPr>
            <w:r>
              <w:rPr>
                <w:rFonts w:ascii="Arial" w:cs="Arial" w:eastAsia="Arial" w:hAnsi="Arial"/>
                <w:b w:val="false"/>
                <w:bCs w:val="false"/>
                <w:color w:val="111827"/>
                <w:sz w:val="22"/>
                <w:szCs w:val="22"/>
              </w:rPr>
              <w:t xml:space="preserve">Sign off on eval dataset quality (sample review of ground truth SQL)</w:t>
            </w:r>
          </w:p>
          <w:p>
            <w:pPr>
              <w:pStyle w:val="ListParagraph"/>
              <w:numPr>
                <w:ilvl w:val="0"/>
                <w:numId w:val="2"/>
              </w:numPr>
              <w:spacing w:before="60" w:after="60"/>
            </w:pPr>
            <w:r>
              <w:rPr>
                <w:rFonts w:ascii="Arial" w:cs="Arial" w:eastAsia="Arial" w:hAnsi="Arial"/>
                <w:b w:val="false"/>
                <w:bCs w:val="false"/>
                <w:color w:val="111827"/>
                <w:sz w:val="22"/>
                <w:szCs w:val="22"/>
              </w:rPr>
              <w:t xml:space="preserve">Ensure SQL transparency and confidence signaling are built into the UX</w:t>
            </w:r>
          </w:p>
          <w:p>
            <w:pPr>
              <w:spacing w:before="0" w:after="100"/>
            </w:pPr>
            <w:r>
              <w:rPr>
                <w:sz w:val="22"/>
                <w:szCs w:val="22"/>
              </w:rPr>
              <w:t xml:space="preserve"/>
            </w:r>
          </w:p>
          <w:p>
            <w:pPr>
              <w:spacing w:before="60" w:after="80"/>
            </w:pPr>
            <w:r>
              <w:rPr>
                <w:rFonts w:ascii="Arial" w:cs="Arial" w:eastAsia="Arial" w:hAnsi="Arial"/>
                <w:b/>
                <w:bCs/>
                <w:sz w:val="22"/>
                <w:szCs w:val="22"/>
              </w:rPr>
              <w:t xml:space="preserve">At Launch:</w:t>
            </w:r>
          </w:p>
          <w:p>
            <w:pPr>
              <w:pStyle w:val="ListParagraph"/>
              <w:numPr>
                <w:ilvl w:val="0"/>
                <w:numId w:val="2"/>
              </w:numPr>
              <w:spacing w:before="60" w:after="60"/>
            </w:pPr>
            <w:r>
              <w:rPr>
                <w:rFonts w:ascii="Arial" w:cs="Arial" w:eastAsia="Arial" w:hAnsi="Arial"/>
                <w:b w:val="false"/>
                <w:bCs w:val="false"/>
                <w:color w:val="111827"/>
                <w:sz w:val="22"/>
                <w:szCs w:val="22"/>
              </w:rPr>
              <w:t xml:space="preserve">Present launch gate scorecard at go/no-go review</w:t>
            </w:r>
          </w:p>
          <w:p>
            <w:pPr>
              <w:pStyle w:val="ListParagraph"/>
              <w:numPr>
                <w:ilvl w:val="0"/>
                <w:numId w:val="2"/>
              </w:numPr>
              <w:spacing w:before="60" w:after="60"/>
            </w:pPr>
            <w:r>
              <w:rPr>
                <w:rFonts w:ascii="Arial" w:cs="Arial" w:eastAsia="Arial" w:hAnsi="Arial"/>
                <w:b w:val="false"/>
                <w:bCs w:val="false"/>
                <w:color w:val="111827"/>
                <w:sz w:val="22"/>
                <w:szCs w:val="22"/>
              </w:rPr>
              <w:t xml:space="preserve">Confirm legal and compliance sign-off for each client domain</w:t>
            </w:r>
          </w:p>
          <w:p>
            <w:pPr>
              <w:pStyle w:val="ListParagraph"/>
              <w:numPr>
                <w:ilvl w:val="0"/>
                <w:numId w:val="2"/>
              </w:numPr>
              <w:spacing w:before="60" w:after="60"/>
            </w:pPr>
            <w:r>
              <w:rPr>
                <w:rFonts w:ascii="Arial" w:cs="Arial" w:eastAsia="Arial" w:hAnsi="Arial"/>
                <w:b w:val="false"/>
                <w:bCs w:val="false"/>
                <w:color w:val="111827"/>
                <w:sz w:val="22"/>
                <w:szCs w:val="22"/>
              </w:rPr>
              <w:t xml:space="preserve">Define rollout strategy (e.g., Insurance clients first, shadow mode for 2 weeks)</w:t>
            </w:r>
          </w:p>
          <w:p>
            <w:pPr>
              <w:spacing w:before="0" w:after="100"/>
            </w:pPr>
            <w:r>
              <w:rPr>
                <w:sz w:val="22"/>
                <w:szCs w:val="22"/>
              </w:rPr>
              <w:t xml:space="preserve"/>
            </w:r>
          </w:p>
          <w:p>
            <w:pPr>
              <w:spacing w:before="60" w:after="80"/>
            </w:pPr>
            <w:r>
              <w:rPr>
                <w:rFonts w:ascii="Arial" w:cs="Arial" w:eastAsia="Arial" w:hAnsi="Arial"/>
                <w:b/>
                <w:bCs/>
                <w:sz w:val="22"/>
                <w:szCs w:val="22"/>
              </w:rPr>
              <w:t xml:space="preserve">After Launch:</w:t>
            </w:r>
          </w:p>
          <w:p>
            <w:pPr>
              <w:pStyle w:val="ListParagraph"/>
              <w:numPr>
                <w:ilvl w:val="0"/>
                <w:numId w:val="2"/>
              </w:numPr>
              <w:spacing w:before="60" w:after="60"/>
            </w:pPr>
            <w:r>
              <w:rPr>
                <w:rFonts w:ascii="Arial" w:cs="Arial" w:eastAsia="Arial" w:hAnsi="Arial"/>
                <w:b w:val="false"/>
                <w:bCs w:val="false"/>
                <w:color w:val="111827"/>
                <w:sz w:val="22"/>
                <w:szCs w:val="22"/>
              </w:rPr>
              <w:t xml:space="preserve">Own weekly human eval sampling process</w:t>
            </w:r>
          </w:p>
          <w:p>
            <w:pPr>
              <w:pStyle w:val="ListParagraph"/>
              <w:numPr>
                <w:ilvl w:val="0"/>
                <w:numId w:val="2"/>
              </w:numPr>
              <w:spacing w:before="60" w:after="60"/>
            </w:pPr>
            <w:r>
              <w:rPr>
                <w:rFonts w:ascii="Arial" w:cs="Arial" w:eastAsia="Arial" w:hAnsi="Arial"/>
                <w:b w:val="false"/>
                <w:bCs w:val="false"/>
                <w:color w:val="111827"/>
                <w:sz w:val="22"/>
                <w:szCs w:val="22"/>
              </w:rPr>
              <w:t xml:space="preserve">Track user satisfaction scores and task completion rates in product analytics</w:t>
            </w:r>
          </w:p>
          <w:p>
            <w:pPr>
              <w:pStyle w:val="ListParagraph"/>
              <w:numPr>
                <w:ilvl w:val="0"/>
                <w:numId w:val="2"/>
              </w:numPr>
              <w:spacing w:before="60" w:after="60"/>
            </w:pPr>
            <w:r>
              <w:rPr>
                <w:rFonts w:ascii="Arial" w:cs="Arial" w:eastAsia="Arial" w:hAnsi="Arial"/>
                <w:b w:val="false"/>
                <w:bCs w:val="false"/>
                <w:color w:val="111827"/>
                <w:sz w:val="22"/>
                <w:szCs w:val="22"/>
              </w:rPr>
              <w:t xml:space="preserve">Escalate any Harmless dimension failures immediately to engineering and legal</w:t>
            </w:r>
          </w:p>
          <w:p>
            <w:pPr>
              <w:pStyle w:val="ListParagraph"/>
              <w:numPr>
                <w:ilvl w:val="0"/>
                <w:numId w:val="2"/>
              </w:numPr>
              <w:spacing w:before="60" w:after="60"/>
            </w:pPr>
            <w:r>
              <w:rPr>
                <w:rFonts w:ascii="Arial" w:cs="Arial" w:eastAsia="Arial" w:hAnsi="Arial"/>
                <w:b w:val="false"/>
                <w:bCs w:val="false"/>
                <w:color w:val="111827"/>
                <w:sz w:val="22"/>
                <w:szCs w:val="22"/>
              </w:rPr>
              <w:t xml:space="preserve">Conduct quarterly 3H audit and present findings to leadership</w:t>
            </w:r>
          </w:p>
        </w:tc>
      </w:tr>
    </w:tbl>
    <w:p>
      <w:pPr>
        <w:spacing w:before="0" w:after="200"/>
      </w:pPr>
      <w:r>
        <w:rPr>
          <w:sz w:val="22"/>
          <w:szCs w:val="22"/>
        </w:rPr>
        <w:t xml:space="preserve"/>
      </w:r>
    </w:p>
    <w:p>
      <w:pPr>
        <w:pBdr>
          <w:top w:val="single" w:color="2E75B6" w:sz="4"/>
        </w:pBdr>
        <w:spacing w:before="200" w:after="80"/>
      </w:pPr>
      <w:r>
        <w:rPr>
          <w:rFonts w:ascii="Arial" w:cs="Arial" w:eastAsia="Arial" w:hAnsi="Arial"/>
          <w:i/>
          <w:iCs/>
          <w:color w:val="374151"/>
          <w:sz w:val="18"/>
          <w:szCs w:val="18"/>
        </w:rPr>
        <w:t xml:space="preserve">Document prepared by Anirban Kundu | ClearSpeed Data &amp; Analytics Platform | Product Management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2026-02-20T06:37:28.781Z</dcterms:created>
  <dcterms:modified xsi:type="dcterms:W3CDTF">2026-02-20T06:37:28.782Z</dcterms:modified>
</cp:coreProperties>
</file>

<file path=docProps/custom.xml><?xml version="1.0" encoding="utf-8"?>
<Properties xmlns="http://schemas.openxmlformats.org/officeDocument/2006/custom-properties" xmlns:vt="http://schemas.openxmlformats.org/officeDocument/2006/docPropsVTypes"/>
</file>