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jc w:val="right"/>
      </w:pPr>
      <w:r>
        <w:rPr>
          <w:rFonts w:ascii="Arial" w:hAnsi="Arial"/>
          <w:b w:val="0"/>
          <w:i w:val="0"/>
          <w:color w:val="667085"/>
          <w:sz w:val="20"/>
        </w:rPr>
        <w:t>[Date]</w:t>
      </w:r>
    </w:p>
    <w:p>
      <w:pPr>
        <w:spacing w:after="200"/>
      </w:pPr>
      <w:r>
        <w:rPr>
          <w:rFonts w:ascii="Arial" w:hAnsi="Arial"/>
          <w:b/>
          <w:color w:val="1A2233"/>
          <w:sz w:val="20"/>
        </w:rPr>
        <w:t>Engr. Emmanuel L. Ferrer</w:t>
        <w:br/>
      </w:r>
      <w:r>
        <w:rPr>
          <w:rFonts w:ascii="Arial" w:hAnsi="Arial"/>
          <w:b w:val="0"/>
          <w:color w:val="1A2233"/>
          <w:sz w:val="20"/>
        </w:rPr>
        <w:t>Assistant Director for Academic Affairs</w:t>
        <w:br/>
      </w:r>
      <w:r>
        <w:rPr>
          <w:rFonts w:ascii="Arial" w:hAnsi="Arial"/>
          <w:b w:val="0"/>
          <w:color w:val="1A2233"/>
          <w:sz w:val="20"/>
        </w:rPr>
        <w:t>Technological University of the Philippines – Taguig</w:t>
        <w:br/>
      </w:r>
      <w:r>
        <w:rPr>
          <w:rFonts w:ascii="Arial" w:hAnsi="Arial"/>
          <w:b w:val="0"/>
          <w:color w:val="1A2233"/>
          <w:sz w:val="20"/>
        </w:rPr>
        <w:t>Taguig City, Metro Manila</w:t>
      </w:r>
    </w:p>
    <w:p>
      <w:pPr>
        <w:spacing w:after="180"/>
      </w:pPr>
      <w:r>
        <w:rPr>
          <w:rFonts w:ascii="Arial" w:hAnsi="Arial"/>
          <w:b w:val="0"/>
          <w:i w:val="0"/>
          <w:color w:val="1A2233"/>
          <w:sz w:val="20"/>
        </w:rPr>
        <w:t>Dear Engr. Ferrer,</w:t>
      </w:r>
    </w:p>
    <w:tbl>
      <w:tblPr>
        <w:tblW w:type="auto" w:w="0"/>
        <w:jc w:val="center"/>
        <w:tblLayout w:type="fixed"/>
        <w:tblLook w:firstColumn="1" w:firstRow="1" w:lastColumn="0" w:lastRow="0" w:noHBand="0" w:noVBand="1" w:val="04A0"/>
      </w:tblPr>
      <w:tblGrid>
        <w:gridCol w:w="9412"/>
      </w:tblGrid>
      <w:tr>
        <w:tc>
          <w:tcPr>
            <w:tcW w:type="dxa" w:w="9411"/>
            <w:vAlign w:val="center"/>
            <w:shd w:fill="7A0019"/>
            <w:tcMar>
              <w:top w:w="160" w:type="dxa"/>
              <w:start w:w="185" w:type="dxa"/>
              <w:bottom w:w="160" w:type="dxa"/>
              <w:end w:w="185" w:type="dxa"/>
            </w:tcMar>
          </w:tcPr>
          <w:p>
            <w:pPr>
              <w:spacing w:after="0" w:line="259" w:lineRule="auto"/>
            </w:pPr>
            <w:r>
              <w:rPr>
                <w:rFonts w:ascii="Arial" w:hAnsi="Arial"/>
                <w:b/>
                <w:color w:val="F7F0D8"/>
                <w:sz w:val="17"/>
              </w:rPr>
              <w:t>SUBJECT:</w:t>
            </w:r>
            <w:r>
              <w:rPr>
                <w:rFonts w:ascii="Arial" w:hAnsi="Arial"/>
                <w:b/>
                <w:color w:val="FFFFFF"/>
                <w:sz w:val="22"/>
              </w:rPr>
              <w:t xml:space="preserve"> Proposal: Haki — Offline Student Information Assistant for TUP Taguig</w:t>
            </w:r>
          </w:p>
        </w:tc>
      </w:tr>
    </w:tbl>
    <w:tbl>
      <w:tblPr>
        <w:tblW w:type="auto" w:w="0"/>
        <w:jc w:val="center"/>
        <w:tblLayout w:type="fixed"/>
        <w:tblLook w:firstColumn="1" w:firstRow="1" w:lastColumn="0" w:lastRow="0" w:noHBand="0" w:noVBand="1" w:val="04A0"/>
      </w:tblPr>
      <w:tblGrid>
        <w:gridCol w:w="3090"/>
        <w:gridCol w:w="3090"/>
        <w:gridCol w:w="3231"/>
      </w:tblGrid>
      <w:tr>
        <w:tc>
          <w:tcPr>
            <w:tcW w:type="dxa" w:w="3137"/>
            <w:shd w:fill="F7F0D8"/>
            <w:tcMar>
              <w:top w:w="95" w:type="dxa"/>
              <w:start w:w="95" w:type="dxa"/>
              <w:bottom w:w="95" w:type="dxa"/>
              <w:end w:w="95" w:type="dxa"/>
            </w:tcMar>
            <w:vAlign w:val="center"/>
          </w:tcPr>
          <w:p>
            <w:pPr>
              <w:spacing w:after="0"/>
              <w:jc w:val="center"/>
            </w:pPr>
            <w:r>
              <w:rPr>
                <w:rFonts w:ascii="Arial" w:hAnsi="Arial"/>
                <w:b/>
                <w:color w:val="4F0012"/>
                <w:sz w:val="15"/>
              </w:rPr>
              <w:t>OFFLINE-FIRST</w:t>
            </w:r>
          </w:p>
        </w:tc>
        <w:tc>
          <w:tcPr>
            <w:tcW w:type="dxa" w:w="3137"/>
            <w:shd w:fill="F7F0D8"/>
            <w:tcMar>
              <w:top w:w="95" w:type="dxa"/>
              <w:start w:w="95" w:type="dxa"/>
              <w:bottom w:w="95" w:type="dxa"/>
              <w:end w:w="95" w:type="dxa"/>
            </w:tcMar>
            <w:vAlign w:val="center"/>
          </w:tcPr>
          <w:p>
            <w:pPr>
              <w:spacing w:after="0"/>
              <w:jc w:val="center"/>
            </w:pPr>
            <w:r>
              <w:rPr>
                <w:rFonts w:ascii="Arial" w:hAnsi="Arial"/>
                <w:b/>
                <w:color w:val="4F0012"/>
                <w:sz w:val="15"/>
              </w:rPr>
              <w:t>SOURCE-REFERENCED</w:t>
            </w:r>
          </w:p>
        </w:tc>
        <w:tc>
          <w:tcPr>
            <w:tcW w:type="dxa" w:w="3137"/>
            <w:shd w:fill="F7F0D8"/>
            <w:tcMar>
              <w:top w:w="95" w:type="dxa"/>
              <w:start w:w="95" w:type="dxa"/>
              <w:bottom w:w="95" w:type="dxa"/>
              <w:end w:w="95" w:type="dxa"/>
            </w:tcMar>
            <w:vAlign w:val="center"/>
          </w:tcPr>
          <w:p>
            <w:pPr>
              <w:spacing w:after="0"/>
              <w:jc w:val="center"/>
            </w:pPr>
            <w:r>
              <w:rPr>
                <w:rFonts w:ascii="Arial" w:hAnsi="Arial"/>
                <w:b/>
                <w:color w:val="4F0012"/>
                <w:sz w:val="15"/>
              </w:rPr>
              <w:t>ADMIN-GOVERNED</w:t>
            </w:r>
          </w:p>
        </w:tc>
      </w:tr>
    </w:tbl>
    <w:p>
      <w:pPr>
        <w:spacing w:after="0"/>
      </w:pPr>
    </w:p>
    <w:p>
      <w:pPr>
        <w:keepNext/>
        <w:spacing w:before="200" w:after="100"/>
        <w:pBdr>
          <w:bottom w:val="single" w:sz="10" w:space="6" w:color="B89B42"/>
        </w:pBdr>
      </w:pPr>
      <w:r>
        <w:rPr>
          <w:rFonts w:ascii="Arial" w:hAnsi="Arial"/>
          <w:b/>
          <w:color w:val="7A0019"/>
          <w:sz w:val="20"/>
        </w:rPr>
        <w:t>WHERE THIS IDEA CAME FROM</w:t>
      </w:r>
    </w:p>
    <w:p>
      <w:pPr>
        <w:keepLines/>
        <w:widowControl/>
        <w:spacing w:after="120" w:line="274" w:lineRule="auto"/>
        <w:jc w:val="both"/>
      </w:pPr>
      <w:r>
        <w:rPr>
          <w:rFonts w:ascii="Arial" w:hAnsi="Arial"/>
          <w:b w:val="0"/>
          <w:i w:val="0"/>
          <w:color w:val="1A2233"/>
          <w:sz w:val="20"/>
        </w:rPr>
        <w:t>I began developing Haki in early May 2026 as a personal portfolio project while preparing to apply for AI/ML engineering roles in the coming months. The goal was straightforward: build something genuinely useful for students here at TUPT, while demonstrating real-world skills to future employers. To put it simply — a first-year student who does not know where the Registrar’s office is should be able to find it in seconds, without an internet connection.</w:t>
      </w:r>
    </w:p>
    <w:p>
      <w:pPr>
        <w:keepLines/>
        <w:widowControl/>
        <w:spacing w:after="120" w:line="274" w:lineRule="auto"/>
        <w:jc w:val="both"/>
      </w:pPr>
      <w:r>
        <w:rPr>
          <w:rFonts w:ascii="Arial" w:hAnsi="Arial"/>
          <w:b w:val="0"/>
          <w:i w:val="0"/>
          <w:color w:val="1A2233"/>
          <w:sz w:val="20"/>
        </w:rPr>
        <w:t xml:space="preserve">The idea to formally offer Haki to the University was encouraged when Ma’am Mara raised the possibility of posting my participation in the </w:t>
      </w:r>
      <w:r>
        <w:rPr>
          <w:rFonts w:ascii="Arial" w:hAnsi="Arial"/>
          <w:b/>
          <w:i w:val="0"/>
          <w:color w:val="1A2233"/>
          <w:sz w:val="20"/>
        </w:rPr>
        <w:t>MIT Sloan AI Club Global Hackathon</w:t>
      </w:r>
      <w:r>
        <w:rPr>
          <w:rFonts w:ascii="Arial" w:hAnsi="Arial"/>
          <w:b w:val="0"/>
          <w:i w:val="0"/>
          <w:color w:val="1A2233"/>
          <w:sz w:val="20"/>
        </w:rPr>
        <w:t xml:space="preserve"> — an international AI competition hosted by MIT — on the MTICS group page as a marketing strategy for IT at TUPT. That conversation sparked a broader thought: if we are already talking about marketing, why not go further?</w:t>
      </w:r>
    </w:p>
    <w:p>
      <w:pPr>
        <w:keepLines/>
        <w:widowControl/>
        <w:spacing w:after="120" w:line="274" w:lineRule="auto"/>
        <w:jc w:val="both"/>
      </w:pPr>
      <w:r>
        <w:rPr>
          <w:rFonts w:ascii="Arial" w:hAnsi="Arial"/>
          <w:b w:val="0"/>
          <w:i w:val="0"/>
          <w:color w:val="1A2233"/>
          <w:sz w:val="20"/>
        </w:rPr>
        <w:t xml:space="preserve">To my knowledge, among Philippine state universities, none currently offers an app where students can ask campus-related questions, receive AI-assisted guidance, and access everything fully offline. If TUPT adopts Haki, </w:t>
      </w:r>
      <w:r>
        <w:rPr>
          <w:rFonts w:ascii="Arial" w:hAnsi="Arial"/>
          <w:b/>
          <w:i w:val="0"/>
          <w:color w:val="1A2233"/>
          <w:sz w:val="20"/>
        </w:rPr>
        <w:t>TUP Taguig has the opportunity to pioneer this in the AI age</w:t>
      </w:r>
      <w:r>
        <w:rPr>
          <w:rFonts w:ascii="Arial" w:hAnsi="Arial"/>
          <w:b w:val="0"/>
          <w:i w:val="0"/>
          <w:color w:val="1A2233"/>
          <w:sz w:val="20"/>
        </w:rPr>
        <w:t xml:space="preserve"> — a genuine milestone that, with the right promotion and advertisement, positions the University as a leader in responsible, student-led innovation.</w:t>
      </w:r>
    </w:p>
    <w:p>
      <w:pPr>
        <w:keepNext/>
        <w:spacing w:before="200" w:after="100"/>
        <w:pBdr>
          <w:bottom w:val="single" w:sz="10" w:space="6" w:color="B89B42"/>
        </w:pBdr>
      </w:pPr>
      <w:r>
        <w:rPr>
          <w:rFonts w:ascii="Arial" w:hAnsi="Arial"/>
          <w:b/>
          <w:color w:val="7A0019"/>
          <w:sz w:val="20"/>
        </w:rPr>
        <w:t>WHAT HAKI DOES</w:t>
      </w:r>
    </w:p>
    <w:p>
      <w:pPr>
        <w:keepLines/>
        <w:widowControl/>
        <w:spacing w:after="120" w:line="274" w:lineRule="auto"/>
        <w:jc w:val="both"/>
      </w:pPr>
      <w:r>
        <w:rPr>
          <w:rFonts w:ascii="Arial" w:hAnsi="Arial"/>
          <w:b w:val="0"/>
          <w:i w:val="0"/>
          <w:color w:val="1A2233"/>
          <w:sz w:val="20"/>
        </w:rPr>
        <w:t>Haki is an offline-first Android application built specifically for TUP Taguig students. In its current working state, it can:</w:t>
      </w:r>
    </w:p>
    <w:p>
      <w:pPr>
        <w:pStyle w:val="ListBullet"/>
        <w:widowControl/>
        <w:spacing w:after="80" w:line="264" w:lineRule="auto"/>
        <w:ind w:left="369" w:hanging="238"/>
      </w:pPr>
      <w:r>
        <w:rPr>
          <w:rFonts w:ascii="Arial" w:hAnsi="Arial"/>
          <w:b w:val="0"/>
          <w:i w:val="0"/>
          <w:color w:val="1A2233"/>
          <w:sz w:val="20"/>
        </w:rPr>
        <w:t>Provide access to locally saved, administration-approved campus information</w:t>
      </w:r>
    </w:p>
    <w:p>
      <w:pPr>
        <w:pStyle w:val="ListBullet"/>
        <w:widowControl/>
        <w:spacing w:after="80" w:line="264" w:lineRule="auto"/>
        <w:ind w:left="369" w:hanging="238"/>
      </w:pPr>
      <w:r>
        <w:rPr>
          <w:rFonts w:ascii="Arial" w:hAnsi="Arial"/>
          <w:b w:val="0"/>
          <w:i w:val="0"/>
          <w:color w:val="1A2233"/>
          <w:sz w:val="20"/>
        </w:rPr>
        <w:t>Show source references for every campus-related response</w:t>
      </w:r>
    </w:p>
    <w:p>
      <w:pPr>
        <w:pStyle w:val="ListBullet"/>
        <w:widowControl/>
        <w:spacing w:after="80" w:line="264" w:lineRule="auto"/>
        <w:ind w:left="369" w:hanging="238"/>
      </w:pPr>
      <w:r>
        <w:rPr>
          <w:rFonts w:ascii="Arial" w:hAnsi="Arial"/>
          <w:b/>
          <w:i w:val="0"/>
          <w:color w:val="1A2233"/>
          <w:sz w:val="20"/>
        </w:rPr>
        <w:t>Display an in-app TUPT campus map</w:t>
      </w:r>
      <w:r>
        <w:rPr>
          <w:rFonts w:ascii="Arial" w:hAnsi="Arial"/>
          <w:b w:val="0"/>
          <w:i w:val="0"/>
          <w:color w:val="1A2233"/>
          <w:sz w:val="20"/>
        </w:rPr>
        <w:t xml:space="preserve"> — showing buildings, room numbers, office locations, faculty rooms, and other key areas within the campus</w:t>
      </w:r>
    </w:p>
    <w:p>
      <w:pPr>
        <w:pStyle w:val="ListBullet"/>
        <w:widowControl/>
        <w:spacing w:after="80" w:line="264" w:lineRule="auto"/>
        <w:ind w:left="369" w:hanging="238"/>
      </w:pPr>
      <w:r>
        <w:rPr>
          <w:rFonts w:ascii="Arial" w:hAnsi="Arial"/>
          <w:b w:val="0"/>
          <w:i w:val="0"/>
          <w:color w:val="1A2233"/>
          <w:sz w:val="20"/>
        </w:rPr>
        <w:t>Allow authorized users to manage and update campus source documents</w:t>
      </w:r>
    </w:p>
    <w:p>
      <w:pPr>
        <w:pStyle w:val="ListBullet"/>
        <w:widowControl/>
        <w:spacing w:after="80" w:line="264" w:lineRule="auto"/>
        <w:ind w:left="369" w:hanging="238"/>
      </w:pPr>
      <w:r>
        <w:rPr>
          <w:rFonts w:ascii="Arial" w:hAnsi="Arial"/>
          <w:b w:val="0"/>
          <w:i w:val="0"/>
          <w:color w:val="1A2233"/>
          <w:sz w:val="20"/>
        </w:rPr>
        <w:t>Support optional on-device AI chat on compatible devices using a local model</w:t>
      </w:r>
    </w:p>
    <w:tbl>
      <w:tblPr>
        <w:tblW w:type="auto" w:w="0"/>
        <w:jc w:val="center"/>
        <w:tblLook w:firstColumn="1" w:firstRow="1" w:lastColumn="0" w:lastRow="0" w:noHBand="0" w:noVBand="1" w:val="04A0"/>
      </w:tblPr>
      <w:tblGrid>
        <w:gridCol w:w="9412"/>
      </w:tblGrid>
      <w:tr>
        <w:tc>
          <w:tcPr>
            <w:tcW w:type="dxa" w:w="9412"/>
            <w:shd w:fill="F7E8EC"/>
            <w:tcMar>
              <w:top w:w="110" w:type="dxa"/>
              <w:start w:w="140" w:type="dxa"/>
              <w:bottom w:w="110" w:type="dxa"/>
              <w:end w:w="140" w:type="dxa"/>
            </w:tcMar>
          </w:tcPr>
          <w:p>
            <w:pPr>
              <w:spacing w:after="0" w:line="259" w:lineRule="auto"/>
            </w:pPr>
            <w:r>
              <w:rPr>
                <w:rFonts w:ascii="Arial" w:hAnsi="Arial"/>
                <w:b/>
                <w:color w:val="7A0019"/>
                <w:sz w:val="18"/>
              </w:rPr>
              <w:t>Screenshots of the core features are included in Annex A of this document.</w:t>
            </w:r>
          </w:p>
        </w:tc>
      </w:tr>
    </w:tbl>
    <w:p>
      <w:pPr>
        <w:keepLines/>
        <w:widowControl/>
        <w:spacing w:after="120" w:line="274" w:lineRule="auto"/>
        <w:jc w:val="both"/>
      </w:pPr>
      <w:r>
        <w:rPr>
          <w:rFonts w:ascii="Arial" w:hAnsi="Arial"/>
          <w:b w:val="0"/>
          <w:i w:val="0"/>
          <w:color w:val="1A2233"/>
          <w:sz w:val="20"/>
        </w:rPr>
        <w:t xml:space="preserve">The current development build uses a mix of </w:t>
      </w:r>
      <w:r>
        <w:rPr>
          <w:rFonts w:ascii="Arial" w:hAnsi="Arial"/>
          <w:b/>
          <w:i w:val="0"/>
          <w:color w:val="1A2233"/>
          <w:sz w:val="20"/>
        </w:rPr>
        <w:t>publicly available campus information</w:t>
      </w:r>
      <w:r>
        <w:rPr>
          <w:rFonts w:ascii="Arial" w:hAnsi="Arial"/>
          <w:b w:val="0"/>
          <w:i w:val="0"/>
          <w:color w:val="1A2233"/>
          <w:sz w:val="20"/>
        </w:rPr>
        <w:t xml:space="preserve"> — such as materials posted at offices in the administration building — and </w:t>
      </w:r>
      <w:r>
        <w:rPr>
          <w:rFonts w:ascii="Arial" w:hAnsi="Arial"/>
          <w:b/>
          <w:i w:val="0"/>
          <w:color w:val="1A2233"/>
          <w:sz w:val="20"/>
        </w:rPr>
        <w:t>placeholder content</w:t>
      </w:r>
      <w:r>
        <w:rPr>
          <w:rFonts w:ascii="Arial" w:hAnsi="Arial"/>
          <w:b w:val="0"/>
          <w:i w:val="0"/>
          <w:color w:val="1A2233"/>
          <w:sz w:val="20"/>
        </w:rPr>
        <w:t xml:space="preserve"> for development and testing purposes. This is not final and should not be treated as official information for deployment. I recommend that the Administration review and designate the appropriate content before any public release.</w:t>
      </w:r>
    </w:p>
    <w:p>
      <w:pPr>
        <w:keepLines/>
        <w:widowControl/>
        <w:spacing w:after="120" w:line="274" w:lineRule="auto"/>
        <w:jc w:val="both"/>
      </w:pPr>
      <w:r>
        <w:rPr>
          <w:rFonts w:ascii="Arial" w:hAnsi="Arial"/>
          <w:b w:val="0"/>
          <w:i w:val="0"/>
          <w:color w:val="1A2233"/>
          <w:sz w:val="20"/>
        </w:rPr>
        <w:t xml:space="preserve">I also recommend that the </w:t>
      </w:r>
      <w:r>
        <w:rPr>
          <w:rFonts w:ascii="Arial" w:hAnsi="Arial"/>
          <w:b/>
          <w:i w:val="0"/>
          <w:color w:val="1A2233"/>
          <w:sz w:val="20"/>
        </w:rPr>
        <w:t>official pages of the different University offices</w:t>
      </w:r>
      <w:r>
        <w:rPr>
          <w:rFonts w:ascii="Arial" w:hAnsi="Arial"/>
          <w:b w:val="0"/>
          <w:i w:val="0"/>
          <w:color w:val="1A2233"/>
          <w:sz w:val="20"/>
        </w:rPr>
        <w:t xml:space="preserve"> remain the primary source for real-time updates and announcements. Haki is intended to serve as a convenient offline reference — not a replacement for official communication channels.</w:t>
      </w:r>
    </w:p>
    <w:p>
      <w:pPr>
        <w:keepNext/>
        <w:spacing w:before="200" w:after="100"/>
        <w:pBdr>
          <w:bottom w:val="single" w:sz="10" w:space="6" w:color="B89B42"/>
        </w:pBdr>
      </w:pPr>
      <w:r>
        <w:rPr>
          <w:rFonts w:ascii="Arial" w:hAnsi="Arial"/>
          <w:b/>
          <w:color w:val="7A0019"/>
          <w:sz w:val="20"/>
        </w:rPr>
        <w:t>WHAT I AM OFFERING</w:t>
      </w:r>
    </w:p>
    <w:p>
      <w:pPr>
        <w:keepLines/>
        <w:widowControl/>
        <w:spacing w:after="120" w:line="274" w:lineRule="auto"/>
        <w:jc w:val="both"/>
      </w:pPr>
      <w:r>
        <w:rPr>
          <w:rFonts w:ascii="Arial" w:hAnsi="Arial"/>
          <w:b w:val="0"/>
          <w:i w:val="0"/>
          <w:color w:val="1A2233"/>
          <w:sz w:val="20"/>
        </w:rPr>
        <w:t xml:space="preserve">I am offering Haki to TUPT </w:t>
      </w:r>
      <w:r>
        <w:rPr>
          <w:rFonts w:ascii="Arial" w:hAnsi="Arial"/>
          <w:b/>
          <w:i w:val="0"/>
          <w:color w:val="1A2233"/>
          <w:sz w:val="20"/>
        </w:rPr>
        <w:t>at no development charge</w:t>
      </w:r>
      <w:r>
        <w:rPr>
          <w:rFonts w:ascii="Arial" w:hAnsi="Arial"/>
          <w:b w:val="0"/>
          <w:i w:val="0"/>
          <w:color w:val="1A2233"/>
          <w:sz w:val="20"/>
        </w:rPr>
        <w:t>. This is a student-built project, and my goal is simply to see it benefit the people I built it for.</w:t>
      </w:r>
    </w:p>
    <w:p>
      <w:r>
        <w:br w:type="page"/>
      </w:r>
    </w:p>
    <w:p>
      <w:pPr>
        <w:keepLines/>
        <w:widowControl/>
        <w:spacing w:after="120" w:line="274" w:lineRule="auto"/>
        <w:jc w:val="both"/>
      </w:pPr>
      <w:r>
        <w:rPr>
          <w:rFonts w:ascii="Arial" w:hAnsi="Arial"/>
          <w:b w:val="0"/>
          <w:i w:val="0"/>
          <w:color w:val="1A2233"/>
          <w:sz w:val="20"/>
        </w:rPr>
        <w:t>The Administration holds full authority over what information is made available through the app. I defer entirely to the Administration on which offices, procedures, policies, and contact details may be included, and how their accuracy is maintained and updated over time.</w:t>
      </w:r>
    </w:p>
    <w:p>
      <w:pPr>
        <w:keepNext/>
        <w:spacing w:before="200" w:after="100"/>
        <w:pBdr>
          <w:bottom w:val="single" w:sz="10" w:space="6" w:color="B89B42"/>
        </w:pBdr>
      </w:pPr>
      <w:r>
        <w:rPr>
          <w:rFonts w:ascii="Arial" w:hAnsi="Arial"/>
          <w:b/>
          <w:color w:val="7A0019"/>
          <w:sz w:val="20"/>
        </w:rPr>
        <w:t>IMPLEMENTATION AND STEWARDSHIP</w:t>
      </w:r>
    </w:p>
    <w:p>
      <w:pPr>
        <w:keepLines/>
        <w:widowControl/>
        <w:spacing w:after="120" w:line="274" w:lineRule="auto"/>
        <w:jc w:val="both"/>
      </w:pPr>
      <w:r>
        <w:rPr>
          <w:rFonts w:ascii="Arial" w:hAnsi="Arial"/>
          <w:b w:val="0"/>
          <w:i w:val="0"/>
          <w:color w:val="1A2233"/>
          <w:sz w:val="20"/>
        </w:rPr>
        <w:t>For long-term continuity, I recommend the following:</w:t>
      </w:r>
    </w:p>
    <w:p>
      <w:pPr>
        <w:pStyle w:val="ListBullet"/>
        <w:widowControl/>
        <w:spacing w:after="80" w:line="264" w:lineRule="auto"/>
        <w:ind w:left="369" w:hanging="238"/>
      </w:pPr>
      <w:r>
        <w:rPr>
          <w:rFonts w:ascii="Arial" w:hAnsi="Arial"/>
          <w:b/>
          <w:i w:val="0"/>
          <w:color w:val="1A2233"/>
          <w:sz w:val="20"/>
        </w:rPr>
        <w:t>Assign student maintainers</w:t>
      </w:r>
      <w:r>
        <w:rPr>
          <w:rFonts w:ascii="Arial" w:hAnsi="Arial"/>
          <w:b w:val="0"/>
          <w:i w:val="0"/>
          <w:color w:val="1A2233"/>
          <w:sz w:val="20"/>
        </w:rPr>
        <w:t xml:space="preserve"> — a responsible TUPT office designates students, under appropriate supervision, to handle future content updates and technical continuity.</w:t>
      </w:r>
    </w:p>
    <w:p>
      <w:pPr>
        <w:pStyle w:val="ListBullet"/>
        <w:widowControl/>
        <w:spacing w:after="80" w:line="264" w:lineRule="auto"/>
        <w:ind w:left="369" w:hanging="238"/>
      </w:pPr>
      <w:r>
        <w:rPr>
          <w:rFonts w:ascii="Arial" w:hAnsi="Arial"/>
          <w:b/>
          <w:i w:val="0"/>
          <w:color w:val="1A2233"/>
          <w:sz w:val="20"/>
        </w:rPr>
        <w:t>Guided turnover</w:t>
      </w:r>
      <w:r>
        <w:rPr>
          <w:rFonts w:ascii="Arial" w:hAnsi="Arial"/>
          <w:b w:val="0"/>
          <w:i w:val="0"/>
          <w:color w:val="1A2233"/>
          <w:sz w:val="20"/>
        </w:rPr>
        <w:t xml:space="preserve"> — I will personally guide the first batch of maintainers so they understand the application structure and the importance of using only administration-approved information.</w:t>
      </w:r>
    </w:p>
    <w:p>
      <w:pPr>
        <w:keepLines/>
        <w:widowControl/>
        <w:spacing w:after="120" w:line="274" w:lineRule="auto"/>
        <w:jc w:val="both"/>
      </w:pPr>
      <w:r>
        <w:rPr>
          <w:rFonts w:ascii="Arial" w:hAnsi="Arial"/>
          <w:b w:val="0"/>
          <w:i w:val="0"/>
          <w:color w:val="1A2233"/>
          <w:sz w:val="20"/>
        </w:rPr>
        <w:t>Should the University adopt Haki, I will remain available for any assistance or clarifications I am able to provide. A proper handover with documentation will be completed to ensure continuity does not depend solely on my availability after graduation.</w:t>
      </w:r>
    </w:p>
    <w:p>
      <w:pPr>
        <w:keepLines/>
        <w:widowControl/>
        <w:spacing w:after="120" w:line="274" w:lineRule="auto"/>
        <w:jc w:val="both"/>
      </w:pPr>
      <w:r>
        <w:rPr>
          <w:rFonts w:ascii="Arial" w:hAnsi="Arial"/>
          <w:b w:val="0"/>
          <w:i w:val="0"/>
          <w:color w:val="1A2233"/>
          <w:sz w:val="20"/>
        </w:rPr>
        <w:t xml:space="preserve">Haki is currently available on </w:t>
      </w:r>
      <w:r>
        <w:rPr>
          <w:rFonts w:ascii="Arial" w:hAnsi="Arial"/>
          <w:b/>
          <w:i w:val="0"/>
          <w:color w:val="1A2233"/>
          <w:sz w:val="20"/>
        </w:rPr>
        <w:t>Android only</w:t>
      </w:r>
      <w:r>
        <w:rPr>
          <w:rFonts w:ascii="Arial" w:hAnsi="Arial"/>
          <w:b w:val="0"/>
          <w:i w:val="0"/>
          <w:color w:val="1A2233"/>
          <w:sz w:val="20"/>
        </w:rPr>
        <w:t>. An iOS release is possible if an Apple developer account becomes available through the University or another appropriate arrangement.</w:t>
      </w:r>
    </w:p>
    <w:p>
      <w:pPr>
        <w:keepNext/>
        <w:spacing w:before="200" w:after="100"/>
        <w:pBdr>
          <w:bottom w:val="single" w:sz="10" w:space="6" w:color="B89B42"/>
        </w:pBdr>
      </w:pPr>
      <w:r>
        <w:rPr>
          <w:rFonts w:ascii="Arial" w:hAnsi="Arial"/>
          <w:b/>
          <w:color w:val="7A0019"/>
          <w:sz w:val="20"/>
        </w:rPr>
        <w:t>APP STORE DISTRIBUTION AND EXPENSES</w:t>
      </w:r>
    </w:p>
    <w:p>
      <w:pPr>
        <w:keepLines/>
        <w:widowControl/>
        <w:spacing w:after="120" w:line="274" w:lineRule="auto"/>
        <w:jc w:val="both"/>
      </w:pPr>
      <w:r>
        <w:rPr>
          <w:rFonts w:ascii="Arial" w:hAnsi="Arial"/>
          <w:b w:val="0"/>
          <w:i w:val="0"/>
          <w:color w:val="1A2233"/>
          <w:sz w:val="20"/>
        </w:rPr>
        <w:t>Publishing Haki through official app stores would make it reliably accessible to all students. The associated costs are:</w:t>
      </w:r>
    </w:p>
    <w:p>
      <w:pPr>
        <w:pStyle w:val="ListBullet"/>
        <w:widowControl/>
        <w:spacing w:after="80" w:line="264" w:lineRule="auto"/>
        <w:ind w:left="369" w:hanging="238"/>
      </w:pPr>
      <w:r>
        <w:rPr>
          <w:rFonts w:ascii="Arial" w:hAnsi="Arial"/>
          <w:b/>
          <w:i w:val="0"/>
          <w:color w:val="1A2233"/>
          <w:sz w:val="20"/>
        </w:rPr>
        <w:t>Google Play Store:</w:t>
      </w:r>
      <w:r>
        <w:rPr>
          <w:rFonts w:ascii="Arial" w:hAnsi="Arial"/>
          <w:b w:val="0"/>
          <w:i w:val="0"/>
          <w:color w:val="1A2233"/>
          <w:sz w:val="20"/>
        </w:rPr>
        <w:t xml:space="preserve"> US$25 one-time developer registration fee</w:t>
      </w:r>
    </w:p>
    <w:p>
      <w:pPr>
        <w:pStyle w:val="ListBullet"/>
        <w:widowControl/>
        <w:spacing w:after="80" w:line="264" w:lineRule="auto"/>
        <w:ind w:left="369" w:hanging="238"/>
      </w:pPr>
      <w:r>
        <w:rPr>
          <w:rFonts w:ascii="Arial" w:hAnsi="Arial"/>
          <w:b/>
          <w:i w:val="0"/>
          <w:color w:val="1A2233"/>
          <w:sz w:val="20"/>
        </w:rPr>
        <w:t>Apple App Store:</w:t>
      </w:r>
      <w:r>
        <w:rPr>
          <w:rFonts w:ascii="Arial" w:hAnsi="Arial"/>
          <w:b w:val="0"/>
          <w:i w:val="0"/>
          <w:color w:val="1A2233"/>
          <w:sz w:val="20"/>
        </w:rPr>
        <w:t xml:space="preserve"> US$99 annual Apple Developer Program membership fee (eligible educational institutions may qualify for a fee waiver)</w:t>
      </w:r>
    </w:p>
    <w:p>
      <w:pPr>
        <w:keepLines/>
        <w:widowControl/>
        <w:spacing w:after="120" w:line="274" w:lineRule="auto"/>
        <w:jc w:val="both"/>
      </w:pPr>
      <w:r>
        <w:rPr>
          <w:rFonts w:ascii="Arial" w:hAnsi="Arial"/>
          <w:b w:val="0"/>
          <w:i w:val="0"/>
          <w:color w:val="1A2233"/>
          <w:sz w:val="20"/>
        </w:rPr>
        <w:t xml:space="preserve">My recommendation is to set a </w:t>
      </w:r>
      <w:r>
        <w:rPr>
          <w:rFonts w:ascii="Arial" w:hAnsi="Arial"/>
          <w:b/>
          <w:i w:val="0"/>
          <w:color w:val="1A2233"/>
          <w:sz w:val="20"/>
        </w:rPr>
        <w:t>PHP 49 one-time download fee</w:t>
      </w:r>
      <w:r>
        <w:rPr>
          <w:rFonts w:ascii="Arial" w:hAnsi="Arial"/>
          <w:b w:val="0"/>
          <w:i w:val="0"/>
          <w:color w:val="1A2233"/>
          <w:sz w:val="20"/>
        </w:rPr>
        <w:t xml:space="preserve"> on the stores. This serves two purposes: it helps cover the Apple App Store’s annual fee, and any remaining net proceeds — after platform deductions — can serve as additional funds for the </w:t>
      </w:r>
      <w:r>
        <w:rPr>
          <w:rFonts w:ascii="Arial" w:hAnsi="Arial"/>
          <w:b/>
          <w:i w:val="0"/>
          <w:color w:val="1A2233"/>
          <w:sz w:val="20"/>
        </w:rPr>
        <w:t>University Student Government (USG)</w:t>
      </w:r>
      <w:r>
        <w:rPr>
          <w:rFonts w:ascii="Arial" w:hAnsi="Arial"/>
          <w:b w:val="0"/>
          <w:i w:val="0"/>
          <w:color w:val="1A2233"/>
          <w:sz w:val="20"/>
        </w:rPr>
        <w:t xml:space="preserve"> for student events and initiatives.</w:t>
      </w:r>
    </w:p>
    <w:p>
      <w:pPr>
        <w:keepLines/>
        <w:widowControl/>
        <w:spacing w:after="120" w:line="274" w:lineRule="auto"/>
        <w:jc w:val="both"/>
      </w:pPr>
      <w:r>
        <w:rPr>
          <w:rFonts w:ascii="Arial" w:hAnsi="Arial"/>
          <w:b w:val="0"/>
          <w:i w:val="0"/>
          <w:color w:val="1A2233"/>
          <w:sz w:val="20"/>
        </w:rPr>
        <w:t xml:space="preserve">I also recognize that if the University is able to cover the annual fee independently, the app could be made available to students at no cost. Either way, </w:t>
      </w:r>
      <w:r>
        <w:rPr>
          <w:rFonts w:ascii="Arial" w:hAnsi="Arial"/>
          <w:b/>
          <w:i w:val="0"/>
          <w:color w:val="1A2233"/>
          <w:sz w:val="20"/>
        </w:rPr>
        <w:t>this decision should come from the Administration in consultation with the USG</w:t>
      </w:r>
      <w:r>
        <w:rPr>
          <w:rFonts w:ascii="Arial" w:hAnsi="Arial"/>
          <w:b w:val="0"/>
          <w:i w:val="0"/>
          <w:color w:val="1A2233"/>
          <w:sz w:val="20"/>
        </w:rPr>
        <w:t>, with full transparency in financial governance and formally approved accounting procedures.</w:t>
      </w:r>
    </w:p>
    <w:p>
      <w:pPr>
        <w:keepLines/>
        <w:widowControl/>
        <w:spacing w:after="120" w:line="274" w:lineRule="auto"/>
        <w:jc w:val="both"/>
      </w:pPr>
      <w:r>
        <w:rPr>
          <w:rFonts w:ascii="Arial" w:hAnsi="Arial"/>
          <w:b w:val="0"/>
          <w:i w:val="0"/>
          <w:color w:val="1A2233"/>
          <w:sz w:val="20"/>
        </w:rPr>
        <w:t>I recommend first checking whether an institutional publisher account or educational fee waiver is applicable before committing to any expense.</w:t>
      </w:r>
    </w:p>
    <w:p>
      <w:pPr>
        <w:keepNext/>
        <w:spacing w:before="200" w:after="100"/>
        <w:pBdr>
          <w:bottom w:val="single" w:sz="10" w:space="6" w:color="B89B42"/>
        </w:pBdr>
      </w:pPr>
      <w:r>
        <w:rPr>
          <w:rFonts w:ascii="Arial" w:hAnsi="Arial"/>
          <w:b/>
          <w:color w:val="7A0019"/>
          <w:sz w:val="20"/>
        </w:rPr>
        <w:t>DATA PRIVACY</w:t>
      </w:r>
    </w:p>
    <w:p>
      <w:pPr>
        <w:keepLines/>
        <w:widowControl/>
        <w:spacing w:after="120" w:line="274" w:lineRule="auto"/>
        <w:jc w:val="both"/>
      </w:pPr>
      <w:r>
        <w:rPr>
          <w:rFonts w:ascii="Arial" w:hAnsi="Arial"/>
          <w:b w:val="0"/>
          <w:i w:val="0"/>
          <w:color w:val="1A2233"/>
          <w:sz w:val="20"/>
        </w:rPr>
        <w:t xml:space="preserve">Haki is designed as an offline-first application and does not collect, store, or transmit personal data to external servers. Any institutional use of the application shall remain subject to the </w:t>
      </w:r>
      <w:r>
        <w:rPr>
          <w:rFonts w:ascii="Arial" w:hAnsi="Arial"/>
          <w:b/>
          <w:i w:val="0"/>
          <w:color w:val="1A2233"/>
          <w:sz w:val="20"/>
        </w:rPr>
        <w:t>Data Privacy Act of the Philippines (Republic Act No. 10173)</w:t>
      </w:r>
      <w:r>
        <w:rPr>
          <w:rFonts w:ascii="Arial" w:hAnsi="Arial"/>
          <w:b w:val="0"/>
          <w:i w:val="0"/>
          <w:color w:val="1A2233"/>
          <w:sz w:val="20"/>
        </w:rPr>
        <w:t xml:space="preserve"> and all applicable University policies on data governance and information security.</w:t>
      </w:r>
    </w:p>
    <w:p>
      <w:pPr>
        <w:keepNext/>
        <w:spacing w:before="200" w:after="100"/>
        <w:pBdr>
          <w:bottom w:val="single" w:sz="10" w:space="6" w:color="B89B42"/>
        </w:pBdr>
      </w:pPr>
      <w:r>
        <w:rPr>
          <w:rFonts w:ascii="Arial" w:hAnsi="Arial"/>
          <w:b/>
          <w:color w:val="7A0019"/>
          <w:sz w:val="20"/>
        </w:rPr>
        <w:t>THE ADMINISTRATION’S ROLE</w:t>
      </w:r>
    </w:p>
    <w:p>
      <w:pPr>
        <w:keepLines/>
        <w:widowControl/>
        <w:spacing w:after="120" w:line="274" w:lineRule="auto"/>
        <w:jc w:val="both"/>
      </w:pPr>
      <w:r>
        <w:rPr>
          <w:rFonts w:ascii="Arial" w:hAnsi="Arial"/>
          <w:b w:val="0"/>
          <w:i w:val="0"/>
          <w:color w:val="1A2233"/>
          <w:sz w:val="20"/>
        </w:rPr>
        <w:t>This is a proposal, not a requirement. All decisions — whether to adopt Haki, what content it carries, how it is distributed, and how it is governed — rest entirely with the Administration. My role is to build, hand over, and support.</w:t>
      </w:r>
    </w:p>
    <w:p>
      <w:pPr>
        <w:keepLines/>
        <w:widowControl/>
        <w:spacing w:after="120" w:line="274" w:lineRule="auto"/>
        <w:jc w:val="both"/>
      </w:pPr>
      <w:r>
        <w:rPr>
          <w:rFonts w:ascii="Arial" w:hAnsi="Arial"/>
          <w:b w:val="0"/>
          <w:i w:val="0"/>
          <w:color w:val="1A2233"/>
          <w:sz w:val="20"/>
        </w:rPr>
        <w:t xml:space="preserve">The only benefit I respectfully request, if Haki is implemented or promoted by TUPT, is the right to </w:t>
      </w:r>
      <w:r>
        <w:rPr>
          <w:rFonts w:ascii="Arial" w:hAnsi="Arial"/>
          <w:b/>
          <w:i w:val="0"/>
          <w:color w:val="1A2233"/>
          <w:sz w:val="20"/>
        </w:rPr>
        <w:t>claim credit for originally developing the application</w:t>
      </w:r>
      <w:r>
        <w:rPr>
          <w:rFonts w:ascii="Arial" w:hAnsi="Arial"/>
          <w:b w:val="0"/>
          <w:i w:val="0"/>
          <w:color w:val="1A2233"/>
          <w:sz w:val="20"/>
        </w:rPr>
        <w:t xml:space="preserve"> — to reference it in my portfolio, resume or CV, and during job interviews, without disclosing any restricted University information.</w:t>
      </w:r>
    </w:p>
    <w:p>
      <w:r>
        <w:br w:type="page"/>
      </w:r>
    </w:p>
    <w:p>
      <w:pPr>
        <w:keepNext/>
        <w:spacing w:before="200" w:after="100"/>
        <w:pBdr>
          <w:bottom w:val="single" w:sz="10" w:space="6" w:color="B89B42"/>
        </w:pBdr>
      </w:pPr>
      <w:r>
        <w:rPr>
          <w:rFonts w:ascii="Arial" w:hAnsi="Arial"/>
          <w:b/>
          <w:color w:val="7A0019"/>
          <w:sz w:val="20"/>
        </w:rPr>
        <w:t>REQUESTED ADMINISTRATIVE ACTION</w:t>
      </w:r>
    </w:p>
    <w:p>
      <w:pPr>
        <w:pStyle w:val="ListNumber"/>
        <w:widowControl/>
        <w:spacing w:after="80" w:line="264" w:lineRule="auto"/>
        <w:ind w:left="369" w:hanging="238"/>
      </w:pPr>
      <w:r>
        <w:rPr>
          <w:rFonts w:ascii="Arial" w:hAnsi="Arial"/>
          <w:b w:val="0"/>
          <w:i w:val="0"/>
          <w:color w:val="1A2233"/>
          <w:sz w:val="20"/>
        </w:rPr>
        <w:t>Consider whether institutional adoption of Haki is appropriate for TUP Taguig.</w:t>
      </w:r>
    </w:p>
    <w:p>
      <w:pPr>
        <w:pStyle w:val="ListNumber"/>
        <w:widowControl/>
        <w:spacing w:after="80" w:line="264" w:lineRule="auto"/>
        <w:ind w:left="369" w:hanging="238"/>
      </w:pPr>
      <w:r>
        <w:rPr>
          <w:rFonts w:ascii="Arial" w:hAnsi="Arial"/>
          <w:b w:val="0"/>
          <w:i w:val="0"/>
          <w:color w:val="1A2233"/>
          <w:sz w:val="20"/>
        </w:rPr>
        <w:t>Identify the official campus information that may be stored and made available through the application, replacing current placeholder content.</w:t>
      </w:r>
    </w:p>
    <w:p>
      <w:pPr>
        <w:pStyle w:val="ListNumber"/>
        <w:widowControl/>
        <w:spacing w:after="80" w:line="264" w:lineRule="auto"/>
        <w:ind w:left="369" w:hanging="238"/>
      </w:pPr>
      <w:r>
        <w:rPr>
          <w:rFonts w:ascii="Arial" w:hAnsi="Arial"/>
          <w:b w:val="0"/>
          <w:i w:val="0"/>
          <w:color w:val="1A2233"/>
          <w:sz w:val="20"/>
        </w:rPr>
        <w:t>Advise on the assignment of a responsible office and student maintainers for content updates and long-term app continuity.</w:t>
      </w:r>
    </w:p>
    <w:p>
      <w:pPr>
        <w:pStyle w:val="ListNumber"/>
        <w:widowControl/>
        <w:spacing w:after="80" w:line="264" w:lineRule="auto"/>
        <w:ind w:left="369" w:hanging="238"/>
      </w:pPr>
      <w:r>
        <w:rPr>
          <w:rFonts w:ascii="Arial" w:hAnsi="Arial"/>
          <w:b w:val="0"/>
          <w:i w:val="0"/>
          <w:color w:val="1A2233"/>
          <w:sz w:val="20"/>
        </w:rPr>
        <w:t>Advise on whether Google Play or App Store publication should be authorized, and determine the appropriate account, download pricing, and financial governance in consultation with the USG.</w:t>
      </w:r>
    </w:p>
    <w:p>
      <w:pPr>
        <w:pStyle w:val="ListNumber"/>
        <w:widowControl/>
        <w:spacing w:after="80" w:line="264" w:lineRule="auto"/>
        <w:ind w:left="369" w:hanging="238"/>
      </w:pPr>
      <w:r>
        <w:rPr>
          <w:rFonts w:ascii="Arial" w:hAnsi="Arial"/>
          <w:b w:val="0"/>
          <w:i w:val="0"/>
          <w:color w:val="1A2233"/>
          <w:sz w:val="20"/>
        </w:rPr>
        <w:t>Confirm an acceptable attribution arrangement for the original developer if Haki is deployed or promoted.</w:t>
      </w:r>
    </w:p>
    <w:p>
      <w:pPr>
        <w:keepLines/>
        <w:widowControl/>
        <w:spacing w:after="120" w:line="274" w:lineRule="auto"/>
        <w:jc w:val="both"/>
      </w:pPr>
      <w:r>
        <w:rPr>
          <w:rFonts w:ascii="Arial" w:hAnsi="Arial"/>
          <w:b w:val="0"/>
          <w:i w:val="0"/>
          <w:color w:val="1A2233"/>
          <w:sz w:val="20"/>
        </w:rPr>
        <w:t xml:space="preserve">Thank you for considering this proposal. I am ready to walk you through a live demonstration of Haki at your convenience. Please feel free to reach me directly at </w:t>
      </w:r>
      <w:r>
        <w:rPr>
          <w:rFonts w:ascii="Arial" w:hAnsi="Arial"/>
          <w:b/>
          <w:i w:val="0"/>
          <w:color w:val="1A2233"/>
          <w:sz w:val="20"/>
        </w:rPr>
        <w:t>joshuaretrita@gmail.com</w:t>
      </w:r>
      <w:r>
        <w:rPr>
          <w:rFonts w:ascii="Arial" w:hAnsi="Arial"/>
          <w:b w:val="0"/>
          <w:i w:val="0"/>
          <w:color w:val="1A2233"/>
          <w:sz w:val="20"/>
        </w:rPr>
        <w:t xml:space="preserve"> or </w:t>
      </w:r>
      <w:r>
        <w:rPr>
          <w:rFonts w:ascii="Arial" w:hAnsi="Arial"/>
          <w:b/>
          <w:i w:val="0"/>
          <w:color w:val="1A2233"/>
          <w:sz w:val="20"/>
        </w:rPr>
        <w:t>09206427509</w:t>
      </w:r>
      <w:r>
        <w:rPr>
          <w:rFonts w:ascii="Arial" w:hAnsi="Arial"/>
          <w:b w:val="0"/>
          <w:i w:val="0"/>
          <w:color w:val="1A2233"/>
          <w:sz w:val="20"/>
        </w:rPr>
        <w:t>, or through Sir Rico or Ma’am Mara. I am happy to cooperate with any evaluation or governance process the Administration may require.</w:t>
      </w:r>
    </w:p>
    <w:p>
      <w:pPr>
        <w:keepLines/>
        <w:widowControl/>
        <w:spacing w:after="320" w:line="274" w:lineRule="auto" w:before="200"/>
        <w:jc w:val="both"/>
      </w:pPr>
      <w:r>
        <w:rPr>
          <w:rFonts w:ascii="Arial" w:hAnsi="Arial"/>
          <w:b w:val="0"/>
          <w:i w:val="0"/>
          <w:color w:val="1A2233"/>
          <w:sz w:val="20"/>
        </w:rPr>
        <w:t>Respectfully submitted,</w:t>
      </w:r>
    </w:p>
    <w:p>
      <w:pPr>
        <w:spacing w:after="40"/>
      </w:pPr>
      <w:r>
        <w:rPr>
          <w:rFonts w:ascii="Arial" w:hAnsi="Arial"/>
          <w:b/>
          <w:i w:val="0"/>
          <w:color w:val="1A2233"/>
          <w:sz w:val="20"/>
        </w:rPr>
        <w:t>Joshua Retrita</w:t>
      </w:r>
    </w:p>
    <w:p>
      <w:pPr>
        <w:spacing w:after="40"/>
      </w:pPr>
      <w:r>
        <w:rPr>
          <w:rFonts w:ascii="Arial" w:hAnsi="Arial"/>
          <w:b w:val="0"/>
          <w:i w:val="0"/>
          <w:color w:val="1A2233"/>
          <w:sz w:val="20"/>
        </w:rPr>
        <w:t>Bachelor of Science in Information Technology</w:t>
      </w:r>
    </w:p>
    <w:p>
      <w:pPr>
        <w:spacing w:after="40"/>
      </w:pPr>
      <w:r>
        <w:rPr>
          <w:rFonts w:ascii="Arial" w:hAnsi="Arial"/>
          <w:b w:val="0"/>
          <w:i w:val="0"/>
          <w:color w:val="1A2233"/>
          <w:sz w:val="20"/>
        </w:rPr>
        <w:t>Graduating Student, Academic Year 2025–2026</w:t>
      </w:r>
    </w:p>
    <w:p>
      <w:pPr>
        <w:spacing w:after="40"/>
      </w:pPr>
      <w:r>
        <w:rPr>
          <w:rFonts w:ascii="Arial" w:hAnsi="Arial"/>
          <w:b w:val="0"/>
          <w:i w:val="0"/>
          <w:color w:val="1A2233"/>
          <w:sz w:val="20"/>
        </w:rPr>
        <w:t>[Student ID]</w:t>
      </w:r>
    </w:p>
    <w:tbl>
      <w:tblPr>
        <w:tblW w:type="auto" w:w="0"/>
        <w:jc w:val="center"/>
        <w:tblLook w:firstColumn="1" w:firstRow="1" w:lastColumn="0" w:lastRow="0" w:noHBand="0" w:noVBand="1" w:val="04A0"/>
      </w:tblPr>
      <w:tblGrid>
        <w:gridCol w:w="9412"/>
      </w:tblGrid>
      <w:tr>
        <w:tc>
          <w:tcPr>
            <w:tcW w:type="dxa" w:w="9412"/>
            <w:shd w:fill="F7F7F5"/>
            <w:tcMar>
              <w:top w:w="115" w:type="dxa"/>
              <w:start w:w="150" w:type="dxa"/>
              <w:bottom w:w="115" w:type="dxa"/>
              <w:end w:w="150" w:type="dxa"/>
            </w:tcMar>
          </w:tcPr>
          <w:p>
            <w:pPr>
              <w:spacing w:after="0" w:line="252" w:lineRule="auto"/>
            </w:pPr>
            <w:r>
              <w:rPr>
                <w:rFonts w:ascii="Arial" w:hAnsi="Arial"/>
                <w:b/>
                <w:i w:val="0"/>
                <w:color w:val="667085"/>
                <w:sz w:val="16"/>
              </w:rPr>
              <w:t xml:space="preserve">Sources: </w:t>
            </w:r>
            <w:r>
              <w:rPr>
                <w:rFonts w:ascii="Arial" w:hAnsi="Arial"/>
                <w:b w:val="0"/>
                <w:i/>
                <w:color w:val="667085"/>
                <w:sz w:val="16"/>
              </w:rPr>
              <w:t>App store fee statements reviewed on May 24, 2026 — Google Play Console Help (support.google.com/googleplay/android-developer/answer/6112435) and Apple Developer Support (developer.apple.com/support/compare-memberships/).</w:t>
            </w:r>
          </w:p>
        </w:tc>
      </w:tr>
    </w:tbl>
    <w:p>
      <w:pPr>
        <w:sectPr>
          <w:headerReference w:type="default" r:id="rId9"/>
          <w:footerReference w:type="default" r:id="rId10"/>
          <w:pgSz w:w="11906" w:h="16838"/>
          <w:pgMar w:top="1417" w:right="1247" w:bottom="1020" w:left="1247" w:header="510" w:footer="510" w:gutter="0"/>
          <w:cols w:space="720"/>
          <w:docGrid w:linePitch="360"/>
        </w:sectPr>
      </w:pPr>
    </w:p>
    <w:p>
      <w:pPr>
        <w:spacing w:after="80"/>
        <w:jc w:val="center"/>
      </w:pPr>
      <w:r>
        <w:rPr>
          <w:rFonts w:ascii="Arial" w:hAnsi="Arial"/>
          <w:b/>
          <w:color w:val="7A0019"/>
          <w:sz w:val="30"/>
        </w:rPr>
        <w:t>ANNEX A — CORE FEATURES OF HAKI</w:t>
      </w:r>
    </w:p>
    <w:p>
      <w:pPr>
        <w:spacing w:after="280"/>
        <w:jc w:val="center"/>
      </w:pPr>
      <w:r>
        <w:rPr>
          <w:rFonts w:ascii="Arial" w:hAnsi="Arial"/>
          <w:i/>
          <w:color w:val="667085"/>
          <w:sz w:val="18"/>
        </w:rPr>
        <w:t>Illustrative development-build interface. Official content and deployment remain subject to TUPT Administration approval.</w:t>
      </w:r>
    </w:p>
    <w:tbl>
      <w:tblPr>
        <w:tblW w:type="auto" w:w="0"/>
        <w:jc w:val="center"/>
        <w:tblLook w:firstColumn="1" w:firstRow="1" w:lastColumn="0" w:lastRow="0" w:noHBand="0" w:noVBand="1" w:val="04A0"/>
      </w:tblPr>
      <w:tblGrid>
        <w:gridCol w:w="9638"/>
      </w:tblGrid>
      <w:tr>
        <w:tc>
          <w:tcPr>
            <w:tcW w:type="dxa" w:w="9638"/>
            <w:shd w:fill="F7F0D8"/>
            <w:tcMar>
              <w:top w:w="100" w:type="dxa"/>
              <w:start w:w="140" w:type="dxa"/>
              <w:bottom w:w="100" w:type="dxa"/>
              <w:end w:w="140" w:type="dxa"/>
            </w:tcMar>
          </w:tcPr>
          <w:p>
            <w:pPr>
              <w:spacing w:after="0"/>
            </w:pPr>
            <w:r>
              <w:rPr>
                <w:rFonts w:ascii="Arial" w:hAnsi="Arial"/>
                <w:b/>
                <w:color w:val="4F0012"/>
                <w:sz w:val="17"/>
              </w:rPr>
              <w:t>Screenshot guide: replace these descriptions with the final non-sensitive Android screenshots before submission.</w:t>
            </w:r>
          </w:p>
        </w:tc>
      </w:tr>
    </w:tbl>
    <w:p>
      <w:pPr>
        <w:spacing w:after="0"/>
      </w:pP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567"/>
            <w:vAlign w:val="center"/>
            <w:shd w:fill="7A0019"/>
            <w:tcMar>
              <w:top w:w="110" w:type="dxa"/>
              <w:start w:w="100" w:type="dxa"/>
              <w:bottom w:w="110" w:type="dxa"/>
              <w:end w:w="100" w:type="dxa"/>
            </w:tcMar>
          </w:tcPr>
          <w:p>
            <w:pPr>
              <w:spacing w:after="0"/>
            </w:pPr>
            <w:r>
              <w:rPr>
                <w:rFonts w:ascii="Arial" w:hAnsi="Arial"/>
                <w:b/>
                <w:color w:val="FFFFFF"/>
                <w:sz w:val="16"/>
              </w:rPr>
              <w:t>Fig.</w:t>
            </w:r>
          </w:p>
        </w:tc>
        <w:tc>
          <w:tcPr>
            <w:tcW w:type="dxa" w:w="2381"/>
            <w:vAlign w:val="center"/>
            <w:shd w:fill="7A0019"/>
            <w:tcMar>
              <w:top w:w="110" w:type="dxa"/>
              <w:start w:w="100" w:type="dxa"/>
              <w:bottom w:w="110" w:type="dxa"/>
              <w:end w:w="100" w:type="dxa"/>
            </w:tcMar>
          </w:tcPr>
          <w:p>
            <w:pPr>
              <w:spacing w:after="0"/>
            </w:pPr>
            <w:r>
              <w:rPr>
                <w:rFonts w:ascii="Arial" w:hAnsi="Arial"/>
                <w:b/>
                <w:color w:val="FFFFFF"/>
                <w:sz w:val="16"/>
              </w:rPr>
              <w:t>Screenshot to Insert</w:t>
            </w:r>
          </w:p>
        </w:tc>
        <w:tc>
          <w:tcPr>
            <w:tcW w:type="dxa" w:w="3061"/>
            <w:vAlign w:val="center"/>
            <w:shd w:fill="7A0019"/>
            <w:tcMar>
              <w:top w:w="110" w:type="dxa"/>
              <w:start w:w="100" w:type="dxa"/>
              <w:bottom w:w="110" w:type="dxa"/>
              <w:end w:w="100" w:type="dxa"/>
            </w:tcMar>
          </w:tcPr>
          <w:p>
            <w:pPr>
              <w:spacing w:after="0"/>
            </w:pPr>
            <w:r>
              <w:rPr>
                <w:rFonts w:ascii="Arial" w:hAnsi="Arial"/>
                <w:b/>
                <w:color w:val="FFFFFF"/>
                <w:sz w:val="16"/>
              </w:rPr>
              <w:t>What It Shows</w:t>
            </w:r>
          </w:p>
        </w:tc>
        <w:tc>
          <w:tcPr>
            <w:tcW w:type="dxa" w:w="3175"/>
            <w:vAlign w:val="center"/>
            <w:shd w:fill="7A0019"/>
            <w:tcMar>
              <w:top w:w="110" w:type="dxa"/>
              <w:start w:w="100" w:type="dxa"/>
              <w:bottom w:w="110" w:type="dxa"/>
              <w:end w:w="100" w:type="dxa"/>
            </w:tcMar>
          </w:tcPr>
          <w:p>
            <w:pPr>
              <w:spacing w:after="0"/>
            </w:pPr>
            <w:r>
              <w:rPr>
                <w:rFonts w:ascii="Arial" w:hAnsi="Arial"/>
                <w:b/>
                <w:color w:val="FFFFFF"/>
                <w:sz w:val="16"/>
              </w:rPr>
              <w:t>Why It Matters to the Admin</w:t>
            </w:r>
          </w:p>
        </w:tc>
      </w:tr>
      <w:tr>
        <w:tc>
          <w:tcPr>
            <w:tcW w:type="dxa" w:w="567"/>
            <w:vAlign w:val="center"/>
            <w:tcMar>
              <w:top w:w="110" w:type="dxa"/>
              <w:start w:w="100" w:type="dxa"/>
              <w:bottom w:w="110" w:type="dxa"/>
              <w:end w:w="100" w:type="dxa"/>
            </w:tcMar>
            <w:shd w:fill="F7E8EC"/>
          </w:tcPr>
          <w:p>
            <w:pPr>
              <w:spacing w:after="0" w:line="250" w:lineRule="auto"/>
            </w:pPr>
            <w:r>
              <w:rPr>
                <w:rFonts w:ascii="Arial" w:hAnsi="Arial"/>
                <w:b/>
                <w:color w:val="7A0019"/>
                <w:sz w:val="16"/>
              </w:rPr>
              <w:t>A1</w:t>
            </w:r>
          </w:p>
        </w:tc>
        <w:tc>
          <w:tcPr>
            <w:tcW w:type="dxa" w:w="238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Home Screen / Landing Page</w:t>
            </w:r>
          </w:p>
        </w:tc>
        <w:tc>
          <w:tcPr>
            <w:tcW w:type="dxa" w:w="306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The student-facing entry point of Haki, showing the main interface and navigation options.</w:t>
            </w:r>
          </w:p>
        </w:tc>
        <w:tc>
          <w:tcPr>
            <w:tcW w:type="dxa" w:w="3175"/>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First impression — shows the app is clean, purposeful, and student-friendly.</w:t>
            </w:r>
          </w:p>
        </w:tc>
      </w:tr>
      <w:tr>
        <w:tc>
          <w:tcPr>
            <w:tcW w:type="dxa" w:w="567"/>
            <w:vAlign w:val="center"/>
            <w:tcMar>
              <w:top w:w="110" w:type="dxa"/>
              <w:start w:w="100" w:type="dxa"/>
              <w:bottom w:w="110" w:type="dxa"/>
              <w:end w:w="100" w:type="dxa"/>
            </w:tcMar>
            <w:shd w:fill="F7E8EC"/>
          </w:tcPr>
          <w:p>
            <w:pPr>
              <w:spacing w:after="0" w:line="250" w:lineRule="auto"/>
            </w:pPr>
            <w:r>
              <w:rPr>
                <w:rFonts w:ascii="Arial" w:hAnsi="Arial"/>
                <w:b/>
                <w:color w:val="7A0019"/>
                <w:sz w:val="16"/>
              </w:rPr>
              <w:t>A2</w:t>
            </w:r>
          </w:p>
        </w:tc>
        <w:tc>
          <w:tcPr>
            <w:tcW w:type="dxa" w:w="238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Campus Info Response with Source Citation</w:t>
            </w:r>
          </w:p>
        </w:tc>
        <w:tc>
          <w:tcPr>
            <w:tcW w:type="dxa" w:w="306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A campus-related answer with the source reference panel expanded and visible.</w:t>
            </w:r>
          </w:p>
        </w:tc>
        <w:tc>
          <w:tcPr>
            <w:tcW w:type="dxa" w:w="3175"/>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Demonstrates that Haki only surfaces approved, traceable information — not unverified AI output.</w:t>
            </w:r>
          </w:p>
        </w:tc>
      </w:tr>
      <w:tr>
        <w:tc>
          <w:tcPr>
            <w:tcW w:type="dxa" w:w="567"/>
            <w:vAlign w:val="center"/>
            <w:tcMar>
              <w:top w:w="110" w:type="dxa"/>
              <w:start w:w="100" w:type="dxa"/>
              <w:bottom w:w="110" w:type="dxa"/>
              <w:end w:w="100" w:type="dxa"/>
            </w:tcMar>
            <w:shd w:fill="F7E8EC"/>
          </w:tcPr>
          <w:p>
            <w:pPr>
              <w:spacing w:after="0" w:line="250" w:lineRule="auto"/>
            </w:pPr>
            <w:r>
              <w:rPr>
                <w:rFonts w:ascii="Arial" w:hAnsi="Arial"/>
                <w:b/>
                <w:color w:val="7A0019"/>
                <w:sz w:val="16"/>
              </w:rPr>
              <w:t>A3</w:t>
            </w:r>
          </w:p>
        </w:tc>
        <w:tc>
          <w:tcPr>
            <w:tcW w:type="dxa" w:w="238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Chat Mode / Capability Selection Screen</w:t>
            </w:r>
          </w:p>
        </w:tc>
        <w:tc>
          <w:tcPr>
            <w:tcW w:type="dxa" w:w="306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The available Haki response modes, distinguishing saved campus data from optional AI guidance.</w:t>
            </w:r>
          </w:p>
        </w:tc>
        <w:tc>
          <w:tcPr>
            <w:tcW w:type="dxa" w:w="3175"/>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Shows the Administration the clear boundary between official content and general AI assistance.</w:t>
            </w:r>
          </w:p>
        </w:tc>
      </w:tr>
      <w:tr>
        <w:tc>
          <w:tcPr>
            <w:tcW w:type="dxa" w:w="567"/>
            <w:vAlign w:val="center"/>
            <w:tcMar>
              <w:top w:w="110" w:type="dxa"/>
              <w:start w:w="100" w:type="dxa"/>
              <w:bottom w:w="110" w:type="dxa"/>
              <w:end w:w="100" w:type="dxa"/>
            </w:tcMar>
            <w:shd w:fill="F7E8EC"/>
          </w:tcPr>
          <w:p>
            <w:pPr>
              <w:spacing w:after="0" w:line="250" w:lineRule="auto"/>
            </w:pPr>
            <w:r>
              <w:rPr>
                <w:rFonts w:ascii="Arial" w:hAnsi="Arial"/>
                <w:b/>
                <w:color w:val="7A0019"/>
                <w:sz w:val="16"/>
              </w:rPr>
              <w:t>A4</w:t>
            </w:r>
          </w:p>
        </w:tc>
        <w:tc>
          <w:tcPr>
            <w:tcW w:type="dxa" w:w="238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Campus Map Screen</w:t>
            </w:r>
          </w:p>
        </w:tc>
        <w:tc>
          <w:tcPr>
            <w:tcW w:type="dxa" w:w="306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The in-app map showing buildings, room numbers, office locations, faculty rooms, and key campus areas.</w:t>
            </w:r>
          </w:p>
        </w:tc>
        <w:tc>
          <w:tcPr>
            <w:tcW w:type="dxa" w:w="3175"/>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Highlights a practical, high-value feature that goes beyond simple Q&amp;A.</w:t>
            </w:r>
          </w:p>
        </w:tc>
      </w:tr>
      <w:tr>
        <w:tc>
          <w:tcPr>
            <w:tcW w:type="dxa" w:w="567"/>
            <w:vAlign w:val="center"/>
            <w:tcMar>
              <w:top w:w="110" w:type="dxa"/>
              <w:start w:w="100" w:type="dxa"/>
              <w:bottom w:w="110" w:type="dxa"/>
              <w:end w:w="100" w:type="dxa"/>
            </w:tcMar>
            <w:shd w:fill="F7E8EC"/>
          </w:tcPr>
          <w:p>
            <w:pPr>
              <w:spacing w:after="0" w:line="250" w:lineRule="auto"/>
            </w:pPr>
            <w:r>
              <w:rPr>
                <w:rFonts w:ascii="Arial" w:hAnsi="Arial"/>
                <w:b/>
                <w:color w:val="7A0019"/>
                <w:sz w:val="16"/>
              </w:rPr>
              <w:t>A5</w:t>
            </w:r>
          </w:p>
        </w:tc>
        <w:tc>
          <w:tcPr>
            <w:tcW w:type="dxa" w:w="238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Offline / Local AI Model Status Screen</w:t>
            </w:r>
          </w:p>
        </w:tc>
        <w:tc>
          <w:tcPr>
            <w:tcW w:type="dxa" w:w="306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The on-device chat option or local model status for optional offline AI functions.</w:t>
            </w:r>
          </w:p>
        </w:tc>
        <w:tc>
          <w:tcPr>
            <w:tcW w:type="dxa" w:w="3175"/>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Confirms the offline-first design — no internet dependency, no data sent to external servers.</w:t>
            </w:r>
          </w:p>
        </w:tc>
      </w:tr>
      <w:tr>
        <w:tc>
          <w:tcPr>
            <w:tcW w:type="dxa" w:w="567"/>
            <w:vAlign w:val="center"/>
            <w:tcMar>
              <w:top w:w="110" w:type="dxa"/>
              <w:start w:w="100" w:type="dxa"/>
              <w:bottom w:w="110" w:type="dxa"/>
              <w:end w:w="100" w:type="dxa"/>
            </w:tcMar>
            <w:shd w:fill="F7E8EC"/>
          </w:tcPr>
          <w:p>
            <w:pPr>
              <w:spacing w:after="0" w:line="250" w:lineRule="auto"/>
            </w:pPr>
            <w:r>
              <w:rPr>
                <w:rFonts w:ascii="Arial" w:hAnsi="Arial"/>
                <w:b/>
                <w:color w:val="7A0019"/>
                <w:sz w:val="16"/>
              </w:rPr>
              <w:t>A6</w:t>
            </w:r>
          </w:p>
        </w:tc>
        <w:tc>
          <w:tcPr>
            <w:tcW w:type="dxa" w:w="238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Admin Document Management Screen</w:t>
            </w:r>
          </w:p>
        </w:tc>
        <w:tc>
          <w:tcPr>
            <w:tcW w:type="dxa" w:w="3061"/>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The protected area where authorized users manage approved campus source documents.</w:t>
            </w:r>
          </w:p>
        </w:tc>
        <w:tc>
          <w:tcPr>
            <w:tcW w:type="dxa" w:w="3175"/>
            <w:vAlign w:val="center"/>
            <w:tcMar>
              <w:top w:w="110" w:type="dxa"/>
              <w:start w:w="100" w:type="dxa"/>
              <w:bottom w:w="110" w:type="dxa"/>
              <w:end w:w="100" w:type="dxa"/>
            </w:tcMar>
            <w:shd w:fill="FFFFFF"/>
          </w:tcPr>
          <w:p>
            <w:pPr>
              <w:spacing w:after="0" w:line="250" w:lineRule="auto"/>
            </w:pPr>
            <w:r>
              <w:rPr>
                <w:rFonts w:ascii="Arial" w:hAnsi="Arial"/>
                <w:b w:val="0"/>
                <w:color w:val="1A2233"/>
                <w:sz w:val="16"/>
              </w:rPr>
              <w:t>Gives the Administration confidence they control all official content inside the app.</w:t>
            </w:r>
          </w:p>
        </w:tc>
      </w:tr>
    </w:tbl>
    <w:tbl>
      <w:tblPr>
        <w:tblW w:type="auto" w:w="0"/>
        <w:jc w:val="center"/>
        <w:tblLook w:firstColumn="1" w:firstRow="1" w:lastColumn="0" w:lastRow="0" w:noHBand="0" w:noVBand="1" w:val="04A0"/>
      </w:tblPr>
      <w:tblGrid>
        <w:gridCol w:w="9638"/>
      </w:tblGrid>
      <w:tr>
        <w:tc>
          <w:tcPr>
            <w:tcW w:type="dxa" w:w="9638"/>
            <w:shd w:fill="F7F7F5"/>
            <w:tcMar>
              <w:top w:w="115" w:type="dxa"/>
              <w:start w:w="145" w:type="dxa"/>
              <w:bottom w:w="115" w:type="dxa"/>
              <w:end w:w="145" w:type="dxa"/>
            </w:tcMar>
          </w:tcPr>
          <w:p>
            <w:pPr>
              <w:spacing w:after="0" w:line="259" w:lineRule="auto"/>
            </w:pPr>
            <w:r>
              <w:rPr>
                <w:rFonts w:ascii="Arial" w:hAnsi="Arial"/>
                <w:b/>
                <w:color w:val="7A0019"/>
                <w:sz w:val="16"/>
              </w:rPr>
              <w:t xml:space="preserve">INSERTION NOTES  </w:t>
            </w:r>
            <w:r>
              <w:rPr>
                <w:rFonts w:ascii="Arial" w:hAnsi="Arial"/>
                <w:i/>
                <w:color w:val="667085"/>
                <w:sz w:val="16"/>
              </w:rPr>
              <w:t>Use clear portrait screenshots from the Android development build. Crop out notifications and personal data. For Fig. A2, keep the source citation panel expanded and readable. For Fig. A6, display only approved or non-confidential demonstration document titles.</w:t>
            </w:r>
          </w:p>
        </w:tc>
      </w:tr>
    </w:tbl>
    <w:sectPr w:rsidR="00FC693F" w:rsidRPr="0006063C" w:rsidSect="00034616">
      <w:headerReference w:type="default" r:id="rId11"/>
      <w:footerReference w:type="default" r:id="rId12"/>
      <w:pgSz w:w="11906" w:h="16838"/>
      <w:pgMar w:top="1417" w:right="1134" w:bottom="1020"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100"/>
      <w:jc w:val="center"/>
    </w:pPr>
    <w:r>
      <w:rPr>
        <w:rFonts w:ascii="Arial" w:hAnsi="Arial"/>
        <w:color w:val="667085"/>
        <w:sz w:val="16"/>
      </w:rPr>
      <w:t>Haki Proposal to TUPT Administration  |  Editable Submission Copy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100"/>
      <w:jc w:val="center"/>
    </w:pPr>
    <w:r>
      <w:rPr>
        <w:rFonts w:ascii="Arial" w:hAnsi="Arial"/>
        <w:color w:val="667085"/>
        <w:sz w:val="16"/>
      </w:rPr>
      <w:t>Haki Proposal  |  Annex A  |  Editable Submission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tbl>
    <w:tblPr>
      <w:tblW w:type="auto" w:w="0"/>
      <w:jc w:val="center"/>
      <w:tblLayout w:type="fixed"/>
      <w:tblLook w:firstColumn="1" w:firstRow="1" w:lastColumn="0" w:lastRow="0" w:noHBand="0" w:noVBand="1" w:val="04A0"/>
    </w:tblPr>
    <w:tblGrid>
      <w:gridCol w:w="624"/>
      <w:gridCol w:w="8901"/>
    </w:tblGrid>
    <w:tr>
      <w:tc>
        <w:tcPr>
          <w:tcW w:type="dxa" w:w="624"/>
          <w:vAlign w:val="center"/>
          <w:tcMar>
            <w:top w:w="20" w:type="dxa"/>
            <w:start w:w="20" w:type="dxa"/>
            <w:bottom w:w="75" w:type="dxa"/>
            <w:end w:w="60" w:type="dxa"/>
          </w:tcMar>
        </w:tcPr>
        <w:p>
          <w:pPr>
            <w:spacing w:after="0"/>
          </w:pPr>
          <w:r>
            <w:drawing>
              <wp:inline xmlns:a="http://schemas.openxmlformats.org/drawingml/2006/main" xmlns:pic="http://schemas.openxmlformats.org/drawingml/2006/picture">
                <wp:extent cx="244800" cy="244800"/>
                <wp:docPr id="1" name="Picture 1" descr="Haki grayhawk app icon" title="Haki app mark"/>
                <wp:cNvGraphicFramePr>
                  <a:graphicFrameLocks noChangeAspect="1"/>
                </wp:cNvGraphicFramePr>
                <a:graphic>
                  <a:graphicData uri="http://schemas.openxmlformats.org/drawingml/2006/picture">
                    <pic:pic>
                      <pic:nvPicPr>
                        <pic:cNvPr id="0" name="grayhawk.png"/>
                        <pic:cNvPicPr/>
                      </pic:nvPicPr>
                      <pic:blipFill>
                        <a:blip r:embed="rId1"/>
                        <a:stretch>
                          <a:fillRect/>
                        </a:stretch>
                      </pic:blipFill>
                      <pic:spPr>
                        <a:xfrm>
                          <a:off x="0" y="0"/>
                          <a:ext cx="244800" cy="244800"/>
                        </a:xfrm>
                        <a:prstGeom prst="rect"/>
                      </pic:spPr>
                    </pic:pic>
                  </a:graphicData>
                </a:graphic>
              </wp:inline>
            </w:drawing>
          </w:r>
        </w:p>
      </w:tc>
      <w:tc>
        <w:tcPr>
          <w:tcW w:type="dxa" w:w="8901"/>
          <w:vAlign w:val="center"/>
          <w:tcMar>
            <w:top w:w="20" w:type="dxa"/>
            <w:start w:w="20" w:type="dxa"/>
            <w:bottom w:w="75" w:type="dxa"/>
            <w:end w:w="60" w:type="dxa"/>
          </w:tcMar>
        </w:tcPr>
        <w:p>
          <w:pPr>
            <w:spacing w:after="0"/>
            <w:pBdr>
              <w:bottom w:val="single" w:sz="12" w:space="5" w:color="B89B42"/>
            </w:pBdr>
          </w:pPr>
          <w:r>
            <w:rPr>
              <w:rFonts w:ascii="Arial" w:hAnsi="Arial"/>
              <w:b/>
              <w:color w:val="7A0019"/>
              <w:sz w:val="22"/>
            </w:rPr>
            <w:t>HAKI</w:t>
          </w:r>
          <w:r>
            <w:rPr>
              <w:rFonts w:ascii="Arial" w:hAnsi="Arial"/>
              <w:b/>
              <w:color w:val="B89B42"/>
              <w:sz w:val="21"/>
            </w:rPr>
            <w:t xml:space="preserve">  |  </w:t>
          </w:r>
          <w:r>
            <w:rPr>
              <w:rFonts w:ascii="Arial" w:hAnsi="Arial"/>
              <w:b/>
              <w:color w:val="667085"/>
              <w:sz w:val="17"/>
            </w:rPr>
            <w:t>PROPOSAL FOR ADMINISTRATIVE EVALUATION</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tbl>
    <w:tblPr>
      <w:tblW w:type="auto" w:w="0"/>
      <w:jc w:val="center"/>
      <w:tblLayout w:type="fixed"/>
      <w:tblLook w:firstColumn="1" w:firstRow="1" w:lastColumn="0" w:lastRow="0" w:noHBand="0" w:noVBand="1" w:val="04A0"/>
    </w:tblPr>
    <w:tblGrid>
      <w:gridCol w:w="624"/>
      <w:gridCol w:w="8901"/>
    </w:tblGrid>
    <w:tr>
      <w:tc>
        <w:tcPr>
          <w:tcW w:type="dxa" w:w="624"/>
          <w:vAlign w:val="center"/>
          <w:tcMar>
            <w:top w:w="20" w:type="dxa"/>
            <w:start w:w="20" w:type="dxa"/>
            <w:bottom w:w="75" w:type="dxa"/>
            <w:end w:w="60" w:type="dxa"/>
          </w:tcMar>
        </w:tcPr>
        <w:p>
          <w:pPr>
            <w:spacing w:after="0"/>
          </w:pPr>
          <w:r>
            <w:drawing>
              <wp:inline xmlns:a="http://schemas.openxmlformats.org/drawingml/2006/main" xmlns:pic="http://schemas.openxmlformats.org/drawingml/2006/picture">
                <wp:extent cx="244800" cy="244800"/>
                <wp:docPr id="1" name="Picture 1" descr="Haki grayhawk app icon" title="Haki app mark"/>
                <wp:cNvGraphicFramePr>
                  <a:graphicFrameLocks noChangeAspect="1"/>
                </wp:cNvGraphicFramePr>
                <a:graphic>
                  <a:graphicData uri="http://schemas.openxmlformats.org/drawingml/2006/picture">
                    <pic:pic>
                      <pic:nvPicPr>
                        <pic:cNvPr id="0" name="grayhawk.png"/>
                        <pic:cNvPicPr/>
                      </pic:nvPicPr>
                      <pic:blipFill>
                        <a:blip r:embed="rId1"/>
                        <a:stretch>
                          <a:fillRect/>
                        </a:stretch>
                      </pic:blipFill>
                      <pic:spPr>
                        <a:xfrm>
                          <a:off x="0" y="0"/>
                          <a:ext cx="244800" cy="244800"/>
                        </a:xfrm>
                        <a:prstGeom prst="rect"/>
                      </pic:spPr>
                    </pic:pic>
                  </a:graphicData>
                </a:graphic>
              </wp:inline>
            </w:drawing>
          </w:r>
        </w:p>
      </w:tc>
      <w:tc>
        <w:tcPr>
          <w:tcW w:type="dxa" w:w="8901"/>
          <w:vAlign w:val="center"/>
          <w:tcMar>
            <w:top w:w="20" w:type="dxa"/>
            <w:start w:w="20" w:type="dxa"/>
            <w:bottom w:w="75" w:type="dxa"/>
            <w:end w:w="60" w:type="dxa"/>
          </w:tcMar>
        </w:tcPr>
        <w:p>
          <w:pPr>
            <w:spacing w:after="0"/>
            <w:pBdr>
              <w:bottom w:val="single" w:sz="12" w:space="5" w:color="B89B42"/>
            </w:pBdr>
          </w:pPr>
          <w:r>
            <w:rPr>
              <w:rFonts w:ascii="Arial" w:hAnsi="Arial"/>
              <w:b/>
              <w:color w:val="7A0019"/>
              <w:sz w:val="22"/>
            </w:rPr>
            <w:t>HAKI</w:t>
          </w:r>
          <w:r>
            <w:rPr>
              <w:rFonts w:ascii="Arial" w:hAnsi="Arial"/>
              <w:b/>
              <w:color w:val="B89B42"/>
              <w:sz w:val="21"/>
            </w:rPr>
            <w:t xml:space="preserve">  |  </w:t>
          </w:r>
          <w:r>
            <w:rPr>
              <w:rFonts w:ascii="Arial" w:hAnsi="Arial"/>
              <w:b/>
              <w:color w:val="667085"/>
              <w:sz w:val="17"/>
            </w:rPr>
            <w:t>ANNEX A - CORE FEATURES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rial" w:hAnsi="Arial"/>
      <w:color w:val="1A22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 Proposal for Administrative Evaluation</dc:title>
  <dc:subject>Proposal for evaluation and potential adoption of Haki</dc:subject>
  <dc:creator>Joshua Retrita</dc:creator>
  <cp:keywords>Haki, TUP Taguig, offline student assistant, proposal</cp:keywords>
  <dc:description>generated by python-docx</dc:description>
  <cp:lastModifiedBy/>
  <cp:revision>1</cp:revision>
  <dcterms:created xsi:type="dcterms:W3CDTF">2013-12-23T23:15:00Z</dcterms:created>
  <dcterms:modified xsi:type="dcterms:W3CDTF">2013-12-23T23:15:00Z</dcterms:modified>
  <cp:category/>
</cp:coreProperties>
</file>