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Ethan Calloway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New York, NY | (212) 555-0173 | </w:t>
      </w:r>
      <w:hyperlink r:id="rId6">
        <w:r w:rsidDel="00000000" w:rsidR="00000000" w:rsidRPr="00000000">
          <w:rPr>
            <w:rtl w:val="0"/>
          </w:rPr>
          <w:t xml:space="preserve">ethan.calloway@example.com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linkedin.com/in/ethancalloway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10431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Kestlemoor University</w:t>
      </w:r>
      <w:r w:rsidDel="00000000" w:rsidR="00000000" w:rsidRPr="00000000">
        <w:rPr>
          <w:rtl w:val="0"/>
        </w:rPr>
        <w:tab/>
        <w:t xml:space="preserve">Philadelphia, PA</w:t>
      </w:r>
    </w:p>
    <w:p w:rsidR="00000000" w:rsidDel="00000000" w:rsidP="00000000" w:rsidRDefault="00000000" w:rsidRPr="00000000" w14:paraId="00000005">
      <w:pPr>
        <w:keepNext w:val="1"/>
        <w:tabs>
          <w:tab w:val="right" w:leader="none" w:pos="1043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Economics, concentration in Finance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GPA: 3.8/4.0; graduated with honors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Relevant coursework: Corporate Finance, Financial Accounting, Econometrics, Valuation</w:t>
      </w:r>
    </w:p>
    <w:p w:rsidR="00000000" w:rsidDel="00000000" w:rsidP="00000000" w:rsidRDefault="00000000" w:rsidRPr="00000000" w14:paraId="0000000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10431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Thornholme Energy, Corporate Development</w:t>
      </w:r>
      <w:r w:rsidDel="00000000" w:rsidR="00000000" w:rsidRPr="00000000">
        <w:rPr>
          <w:rtl w:val="0"/>
        </w:rPr>
        <w:tab/>
        <w:t xml:space="preserve">New York, NY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43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Senior Financial Analyst</w:t>
      </w:r>
      <w:r w:rsidDel="00000000" w:rsidR="00000000" w:rsidRPr="00000000">
        <w:rPr>
          <w:rtl w:val="0"/>
        </w:rPr>
        <w:tab/>
        <w:t xml:space="preserve">Jul 2023 – Present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the model and valuation for a $220 million acquisition of a solar developer, approved by the board in 2025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Screen 30 to 40 potential targets a year and write the one-page summaries the CFO uses to decide which to pursue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Coordinate diligence with outside counsel, accountants and three internal teams on deals of $50 million to $250 million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Track integration targets for two acquired businesses and report progress to the CFO every quarter</w:t>
      </w:r>
    </w:p>
    <w:p w:rsidR="00000000" w:rsidDel="00000000" w:rsidP="00000000" w:rsidRDefault="00000000" w:rsidRPr="00000000" w14:paraId="0000000F">
      <w:pPr>
        <w:keepNext w:val="1"/>
        <w:tabs>
          <w:tab w:val="right" w:leader="none" w:pos="10431"/>
        </w:tabs>
        <w:spacing w:before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Harlan Quay Capital Partners</w:t>
      </w:r>
      <w:r w:rsidDel="00000000" w:rsidR="00000000" w:rsidRPr="00000000">
        <w:rPr>
          <w:rtl w:val="0"/>
        </w:rPr>
        <w:tab/>
        <w:t xml:space="preserve">New York, NY</w:t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43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Investment Banking Analyst</w:t>
      </w:r>
      <w:r w:rsidDel="00000000" w:rsidR="00000000" w:rsidRPr="00000000">
        <w:rPr>
          <w:rtl w:val="0"/>
        </w:rPr>
        <w:tab/>
        <w:t xml:space="preserve">Jul 2021 – Jun 2023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Worked on five closed deals worth $1.6 billion, including two sell-side processes for industrial companies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three-statement models, comparable company analyses and merger models for client pitches and live deals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Drafted sections of offering memoranda and managed data rooms with over 2,000 documents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Prepared buyer lists and handled first calls with about 60 potential buyers on one sale process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431"/>
        </w:tabs>
        <w:spacing w:before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Harlan Quay Capital Partners</w:t>
      </w:r>
      <w:r w:rsidDel="00000000" w:rsidR="00000000" w:rsidRPr="00000000">
        <w:rPr>
          <w:rtl w:val="0"/>
        </w:rPr>
        <w:tab/>
        <w:t xml:space="preserve">New York, NY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43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Investment Banking Intern</w:t>
      </w:r>
      <w:r w:rsidDel="00000000" w:rsidR="00000000" w:rsidRPr="00000000">
        <w:rPr>
          <w:rtl w:val="0"/>
        </w:rPr>
        <w:tab/>
        <w:t xml:space="preserve">Jun 2020 – Aug 2020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Prepared industry research and trading comparables for two healthcare services pitches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database of recent deals in physician practice management for the group's senior bankers</w:t>
      </w:r>
    </w:p>
    <w:p w:rsidR="00000000" w:rsidDel="00000000" w:rsidP="00000000" w:rsidRDefault="00000000" w:rsidRPr="00000000" w14:paraId="00000019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ACTIVITIES AND PROJECTS</w:t>
      </w:r>
    </w:p>
    <w:p w:rsidR="00000000" w:rsidDel="00000000" w:rsidP="00000000" w:rsidRDefault="00000000" w:rsidRPr="00000000" w14:paraId="0000001A">
      <w:pPr>
        <w:keepNext w:val="1"/>
        <w:tabs>
          <w:tab w:val="right" w:leader="none" w:pos="10431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Kestlemoor Student Investment Fund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Portfolio Manager, Industrials</w:t>
      </w:r>
      <w:r w:rsidDel="00000000" w:rsidR="00000000" w:rsidRPr="00000000">
        <w:rPr>
          <w:rtl w:val="0"/>
        </w:rPr>
        <w:tab/>
        <w:t xml:space="preserve">2018 – 2021</w:t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Managed a $180,000 slice of the university endowment; the industrials sector beat its benchmark by 4% over two years</w:t>
      </w:r>
    </w:p>
    <w:p w:rsidR="00000000" w:rsidDel="00000000" w:rsidP="00000000" w:rsidRDefault="00000000" w:rsidRPr="00000000" w14:paraId="0000001C">
      <w:pPr>
        <w:keepNext w:val="1"/>
        <w:tabs>
          <w:tab w:val="right" w:leader="none" w:pos="10431"/>
        </w:tabs>
        <w:spacing w:before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Peer Tutoring Program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Economics Tutor</w:t>
      </w:r>
      <w:r w:rsidDel="00000000" w:rsidR="00000000" w:rsidRPr="00000000">
        <w:rPr>
          <w:rtl w:val="0"/>
        </w:rPr>
        <w:tab/>
        <w:t xml:space="preserve">2019 – 2021</w:t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Tutored about 15 students each term in introductory micro- and macroeconomics</w:t>
      </w:r>
    </w:p>
    <w:p w:rsidR="00000000" w:rsidDel="00000000" w:rsidP="00000000" w:rsidRDefault="00000000" w:rsidRPr="00000000" w14:paraId="0000001E">
      <w:pPr>
        <w:keepNext w:val="1"/>
        <w:tabs>
          <w:tab w:val="right" w:leader="none" w:pos="10431"/>
        </w:tabs>
        <w:spacing w:before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Kestlemoor Finance Society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Vice President, Education</w:t>
      </w:r>
      <w:r w:rsidDel="00000000" w:rsidR="00000000" w:rsidRPr="00000000">
        <w:rPr>
          <w:rtl w:val="0"/>
        </w:rPr>
        <w:tab/>
        <w:t xml:space="preserve">2019 – 2021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weekly technical training on accounting and valuation for about 40 first- and second-year members</w:t>
      </w:r>
    </w:p>
    <w:p w:rsidR="00000000" w:rsidDel="00000000" w:rsidP="00000000" w:rsidRDefault="00000000" w:rsidRPr="00000000" w14:paraId="00000020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SKILLS AND INTERESTS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Technical: </w:t>
      </w:r>
      <w:r w:rsidDel="00000000" w:rsidR="00000000" w:rsidRPr="00000000">
        <w:rPr>
          <w:rtl w:val="0"/>
        </w:rPr>
        <w:t xml:space="preserve">Excel, PowerPoint, Capital IQ, FactSet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CFA Level II candidate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(native), Mandarin (professional)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Interests: </w:t>
      </w:r>
      <w:r w:rsidDel="00000000" w:rsidR="00000000" w:rsidRPr="00000000">
        <w:rPr>
          <w:rtl w:val="0"/>
        </w:rPr>
        <w:t xml:space="preserve">Marathon running, chess, cooking</w:t>
      </w:r>
    </w:p>
    <w:sectPr>
      <w:pgSz w:h="16838" w:w="11906" w:orient="portrait"/>
      <w:pgMar w:bottom="737" w:top="737" w:left="737" w:right="737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than.calloway@example.com" TargetMode="External"/><Relationship Id="rId7" Type="http://schemas.openxmlformats.org/officeDocument/2006/relationships/hyperlink" Target="https://linkedin.com/in/ethancallow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