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Wexbridge Credit Union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Columbus, OH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to apply for the Marketing Specialist position on your member engagement team. For the past three years I have planned and reported on email and social campaigns in health care and retail, and I'd like to bring that work to a credit union that cares about its members.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Kettlewell Health Partners I send 10 to 12 patient email campaigns a month. When I started, the open rate averaged 24%. After I cleaned up the lists and tested shorter subject lines, it settled around 31%. I also built the monthly report on appointment requests that our director now takes into budget meetings.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member onboarding series. I've built welcome sequences before and I know how much the first three emails matter. I'd be glad to share what worked for us and hear what your members ask about most.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 look forward to talking with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xample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