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Marketing coordinator with five years of experience running email and social campaigns for a regional health network and a retail brand. Comfortable with HubSpot, Google Analytics and Excel, and used to turning campaign results into short reports for managers.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Kettlewell Health Partners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Marketing Coordinator</w:t>
      </w:r>
      <w:r w:rsidDel="00000000" w:rsidR="00000000" w:rsidRPr="00000000">
        <w:rPr>
          <w:rtl w:val="0"/>
        </w:rPr>
        <w:tab/>
        <w:t xml:space="preserve">Jun 2023 – Present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 and send 10 to 12 patient email campaigns a month in HubSpot; average open rate rose from 24% to 31%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monthly Looker Studio report on appointment requests that the director uses in budget meetings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 print and social assets for 14 clinic locations with two designers and an outside print vendor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team's first email style guide, which cut review rounds per campaign from three to one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Ostrafell Outfitters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Marketing Assistant</w:t>
      </w:r>
      <w:r w:rsidDel="00000000" w:rsidR="00000000" w:rsidRPr="00000000">
        <w:rPr>
          <w:rtl w:val="0"/>
        </w:rPr>
        <w:tab/>
        <w:t xml:space="preserve">Aug 2021 – May 2023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Scheduled Instagram and Facebook posts for three store openings; followers grew from 4,800 to 9,100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Tracked weekly promo results in Excel and flagged two coupon codes that were losing money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product descriptions for about 150 items when the online store launched in 2022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Turnip &amp; Tansy Market</w:t>
      </w:r>
      <w:r w:rsidDel="00000000" w:rsidR="00000000" w:rsidRPr="00000000">
        <w:rPr>
          <w:rtl w:val="0"/>
        </w:rPr>
        <w:tab/>
        <w:t xml:space="preserve">Dublin, OH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Jan 2019 – Jul 2021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Helped about 80 customers a shift and trained five new hires on the register and returns process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weekly endcap displays for seasonal items, which the store manager used as the model for other aisles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Sycamore Larch University</w:t>
      </w:r>
      <w:r w:rsidDel="00000000" w:rsidR="00000000" w:rsidRPr="00000000">
        <w:rPr>
          <w:rtl w:val="0"/>
        </w:rPr>
        <w:tab/>
        <w:t xml:space="preserve">Columbus, OH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Communication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Coursework: Public Relations Writing, Digital Media Strategy, Marketing Research, Statistics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Marketing: </w:t>
      </w:r>
      <w:r w:rsidDel="00000000" w:rsidR="00000000" w:rsidRPr="00000000">
        <w:rPr>
          <w:rtl w:val="0"/>
        </w:rPr>
        <w:t xml:space="preserve">HubSpot, Mailchimp, Google Analytics, Canva, Hootsuite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Excel (pivot tables), Looker Studio, SQL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HubSpot Content Marketing, Google Analytics Certification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(conversational)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ylor.morgan@example.com" TargetMode="External"/><Relationship Id="rId7" Type="http://schemas.openxmlformats.org/officeDocument/2006/relationships/hyperlink" Target="https://linkedin.com/in/taylor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