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Wexbridge Credit Union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Columbus, OH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to apply for the Marketing Specialist position on your member engagement team. For the past three years I have planned and reported on email and social campaigns in health care and retail, and I'd like to bring that work to a credit union that cares about its members.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Kettlewell Health Partners I send 10 to 12 patient email campaigns a month. When I started, the open rate averaged 24%. After I cleaned up the lists and tested shorter subject lines, it settled around 31%. I also built the monthly report on appointment requests that our director now takes into budget meetings.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member onboarding series. I've built welcome sequences before and I know how much the first three emails matter. I'd be glad to share what worked for us and hear what your members ask about most.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 look forward to talking with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