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Marketing coordinator with three years of experience running email and social campaigns for a regional health network and a retail brand. Comfortable with HubSpot, Google Analytics and Excel, and used to turning campaign results into short reports for managers.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Kettlewell Health Partners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Coordinator</w:t>
      </w:r>
      <w:r w:rsidDel="00000000" w:rsidR="00000000" w:rsidRPr="00000000">
        <w:rPr>
          <w:rtl w:val="0"/>
        </w:rPr>
        <w:tab/>
        <w:t xml:space="preserve">Jun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and send 10 to 12 patient email campaigns a month in HubSpot; average open rate rose from 24% to 31%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monthly Looker Studio report on appointment requests that the director uses in budget meetings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 print and social assets for 14 clinic locations with two designers and an outside print vendor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team's first email style guide, which cut review rounds per campaign from three to one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Ostrafell Outfitters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Assistant</w:t>
      </w:r>
      <w:r w:rsidDel="00000000" w:rsidR="00000000" w:rsidRPr="00000000">
        <w:rPr>
          <w:rtl w:val="0"/>
        </w:rPr>
        <w:tab/>
        <w:t xml:space="preserve">Aug 2021 – May 2023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Instagram and Facebook posts for three store openings; followers grew from 4,800 to 9,100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weekly promo results in Excel and flagged two coupon codes that were losing money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product descriptions for about 150 items when the online store launched in 2022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Turnip &amp; Tansy Market</w:t>
      </w:r>
      <w:r w:rsidDel="00000000" w:rsidR="00000000" w:rsidRPr="00000000">
        <w:rPr>
          <w:rtl w:val="0"/>
        </w:rPr>
        <w:tab/>
        <w:t xml:space="preserve">Dublin, OH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Jan 2019 – Jul 2021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Helped about 80 customers a shift and trained five new hires on the register and returns process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weekly endcap displays for seasonal items, which the store manager used as the model for other aisles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Sycamore Larch University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Communication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Coursework: Public Relations Writing, Digital Media Strategy, Marketing Research, Statistics</w:t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Marketing: </w:t>
      </w:r>
      <w:r w:rsidDel="00000000" w:rsidR="00000000" w:rsidRPr="00000000">
        <w:rPr>
          <w:rtl w:val="0"/>
        </w:rPr>
        <w:t xml:space="preserve">HubSpot, Mailchimp, Google Analytics, Canva, Hootsuite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Data: </w:t>
      </w:r>
      <w:r w:rsidDel="00000000" w:rsidR="00000000" w:rsidRPr="00000000">
        <w:rPr>
          <w:rtl w:val="0"/>
        </w:rPr>
        <w:t xml:space="preserve">Excel (pivot tables), Looker Studio, SQL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HubSpot Content Marketing, Google Analytics Certification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(conversational)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